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6096"/>
        </w:tabs>
        <w:spacing w:line="276" w:lineRule="auto"/>
        <w:jc w:val="right"/>
        <w:outlineLvl w:val="0"/>
        <w:rPr>
          <w:rFonts w:ascii="Verdana" w:cs="Verdana" w:hAnsi="Verdana" w:eastAsia="Verdana"/>
          <w:color w:val="ed1c2a"/>
          <w:sz w:val="30"/>
          <w:szCs w:val="30"/>
          <w:u w:color="ed1c2a"/>
        </w:rPr>
      </w:pPr>
      <w:r>
        <w:rPr>
          <w:rFonts w:ascii="Georgia" w:cs="Georgia" w:hAnsi="Georgia" w:eastAsia="Georgia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485900" cy="34671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  <w:u w:color="ed1c2a"/>
          <w:rtl w:val="0"/>
          <w:lang w:val="es-ES_tradnl"/>
        </w:rPr>
        <w:t xml:space="preserve"> </w:t>
      </w:r>
      <w:r>
        <w:rPr>
          <w:rFonts w:ascii="Verdana" w:hAnsi="Verdana"/>
          <w:color w:val="ed1c2a"/>
          <w:sz w:val="30"/>
          <w:szCs w:val="30"/>
          <w:u w:color="ed1c2a"/>
          <w:rtl w:val="0"/>
          <w:lang w:val="en-US"/>
        </w:rPr>
        <w:t>LEYENDA DE LA IMAGEN</w:t>
      </w:r>
    </w:p>
    <w:p>
      <w:pPr>
        <w:pStyle w:val="Body"/>
        <w:spacing w:line="276" w:lineRule="auto"/>
        <w:jc w:val="right"/>
        <w:rPr>
          <w:rFonts w:ascii="Verdana" w:cs="Verdana" w:hAnsi="Verdana" w:eastAsia="Verdana"/>
          <w:color w:val="ed1c2a"/>
          <w:sz w:val="18"/>
          <w:szCs w:val="18"/>
          <w:u w:color="ed1c2a"/>
        </w:rPr>
      </w:pP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20 de septiembre de 2016</w:t>
      </w:r>
    </w:p>
    <w:p>
      <w:pPr>
        <w:pStyle w:val="Body"/>
        <w:spacing w:line="276" w:lineRule="auto"/>
        <w:rPr>
          <w:rFonts w:ascii="Verdana" w:cs="Verdana" w:hAnsi="Verdana" w:eastAsia="Verdana"/>
          <w:color w:val="ed1c2a"/>
          <w:sz w:val="30"/>
          <w:szCs w:val="30"/>
          <w:u w:color="ed1c2a"/>
          <w:lang w:val="es-ES_tradnl"/>
        </w:rPr>
      </w:pPr>
    </w:p>
    <w:p>
      <w:pPr>
        <w:pStyle w:val="Body"/>
        <w:tabs>
          <w:tab w:val="left" w:pos="4111"/>
          <w:tab w:val="left" w:pos="7371"/>
        </w:tabs>
        <w:spacing w:line="276" w:lineRule="auto"/>
        <w:jc w:val="center"/>
        <w:rPr>
          <w:rFonts w:ascii="Verdana" w:cs="Verdana" w:hAnsi="Verdana" w:eastAsia="Verdana"/>
          <w:b w:val="1"/>
          <w:bCs w:val="1"/>
          <w:color w:val="41525c"/>
          <w:sz w:val="16"/>
          <w:szCs w:val="16"/>
          <w:u w:color="41525c"/>
        </w:rPr>
      </w:pPr>
      <w:r>
        <w:rPr>
          <w:rFonts w:ascii="Verdana" w:hAnsi="Verdana"/>
          <w:color w:val="41525c"/>
          <w:sz w:val="16"/>
          <w:szCs w:val="16"/>
          <w:u w:color="41525c"/>
          <w:rtl w:val="0"/>
          <w:lang w:val="es-ES_tradnl"/>
        </w:rPr>
        <w:t xml:space="preserve"> </w:t>
      </w:r>
    </w:p>
    <w:p>
      <w:pPr>
        <w:pStyle w:val="Body"/>
        <w:spacing w:line="276" w:lineRule="auto"/>
        <w:rPr>
          <w:rFonts w:ascii="Georgia" w:cs="Georgia" w:hAnsi="Georgia" w:eastAsia="Georgia"/>
          <w:sz w:val="21"/>
          <w:szCs w:val="21"/>
          <w:lang w:val="es-ES_tradnl"/>
        </w:rPr>
      </w:pPr>
    </w:p>
    <w:p>
      <w:pPr>
        <w:pStyle w:val="Body"/>
        <w:spacing w:line="276" w:lineRule="auto"/>
        <w:rPr>
          <w:rFonts w:ascii="Georgia" w:cs="Georgia" w:hAnsi="Georgia" w:eastAsia="Georgia"/>
          <w:sz w:val="21"/>
          <w:szCs w:val="21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s-ES_tradnl"/>
        </w:rPr>
        <w:t>Corpinsa crece su flota Potain con cuart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a</w:t>
      </w:r>
      <w:r>
        <w:rPr>
          <w:rFonts w:ascii="Georgia" w:hAnsi="Georgia"/>
          <w:b w:val="1"/>
          <w:bCs w:val="1"/>
          <w:sz w:val="28"/>
          <w:szCs w:val="28"/>
          <w:rtl w:val="0"/>
          <w:lang w:val="es-ES_tradnl"/>
        </w:rPr>
        <w:t xml:space="preserve"> MCR 160 en Panam</w:t>
      </w:r>
      <w:r>
        <w:rPr>
          <w:rFonts w:ascii="Georgia" w:hAnsi="Georgia" w:hint="default"/>
          <w:b w:val="1"/>
          <w:bCs w:val="1"/>
          <w:sz w:val="28"/>
          <w:szCs w:val="28"/>
          <w:rtl w:val="0"/>
          <w:lang w:val="es-ES_tradnl"/>
        </w:rPr>
        <w:t>á</w:t>
      </w:r>
    </w:p>
    <w:p>
      <w:pPr>
        <w:pStyle w:val="Body"/>
        <w:spacing w:line="276" w:lineRule="auto"/>
        <w:rPr>
          <w:rFonts w:ascii="Georgia" w:cs="Georgia" w:hAnsi="Georgia" w:eastAsia="Georgia"/>
          <w:sz w:val="21"/>
          <w:szCs w:val="21"/>
          <w:lang w:val="es-ES_tradnl"/>
        </w:rPr>
      </w:pPr>
    </w:p>
    <w:p>
      <w:pPr>
        <w:pStyle w:val="Body"/>
        <w:spacing w:line="276" w:lineRule="auto"/>
        <w:rPr>
          <w:rFonts w:ascii="Georgia" w:cs="Georgia" w:hAnsi="Georgia" w:eastAsia="Georgia"/>
          <w:sz w:val="21"/>
          <w:szCs w:val="21"/>
        </w:rPr>
      </w:pPr>
      <w:r>
        <w:rPr>
          <w:rFonts w:ascii="Georgia" w:hAnsi="Georgia"/>
          <w:sz w:val="21"/>
          <w:szCs w:val="21"/>
          <w:rtl w:val="0"/>
          <w:lang w:val="es-ES_tradnl"/>
        </w:rPr>
        <w:t>Corpinsa, uno de los distribuidores m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á</w:t>
      </w:r>
      <w:r>
        <w:rPr>
          <w:rFonts w:ascii="Georgia" w:hAnsi="Georgia"/>
          <w:sz w:val="21"/>
          <w:szCs w:val="21"/>
          <w:rtl w:val="0"/>
          <w:lang w:val="es-ES_tradnl"/>
        </w:rPr>
        <w:t>s grandes de Manitowoc en Am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é</w:t>
      </w:r>
      <w:r>
        <w:rPr>
          <w:rFonts w:ascii="Georgia" w:hAnsi="Georgia"/>
          <w:sz w:val="21"/>
          <w:szCs w:val="21"/>
          <w:rtl w:val="0"/>
          <w:lang w:val="es-ES_tradnl"/>
        </w:rPr>
        <w:t>rica Central, acaba de a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ñ</w:t>
      </w:r>
      <w:r>
        <w:rPr>
          <w:rFonts w:ascii="Georgia" w:hAnsi="Georgia"/>
          <w:sz w:val="21"/>
          <w:szCs w:val="21"/>
          <w:rtl w:val="0"/>
          <w:lang w:val="es-ES_tradnl"/>
        </w:rPr>
        <w:t>adir su cuarta Potain MCR 160 a su flota en la Ciudad de Panam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á</w:t>
      </w:r>
      <w:r>
        <w:rPr>
          <w:rFonts w:ascii="Georgia" w:hAnsi="Georgia"/>
          <w:sz w:val="21"/>
          <w:szCs w:val="21"/>
          <w:rtl w:val="0"/>
          <w:lang w:val="es-ES_tradnl"/>
        </w:rPr>
        <w:t>. La gr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ú</w:t>
      </w:r>
      <w:r>
        <w:rPr>
          <w:rFonts w:ascii="Georgia" w:hAnsi="Georgia"/>
          <w:sz w:val="21"/>
          <w:szCs w:val="21"/>
          <w:rtl w:val="0"/>
          <w:lang w:val="es-ES_tradnl"/>
        </w:rPr>
        <w:t>a torre ya est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 xml:space="preserve">á </w:t>
      </w:r>
      <w:r>
        <w:rPr>
          <w:rFonts w:ascii="Georgia" w:hAnsi="Georgia"/>
          <w:sz w:val="21"/>
          <w:szCs w:val="21"/>
          <w:rtl w:val="0"/>
          <w:lang w:val="es-ES_tradnl"/>
        </w:rPr>
        <w:t>en el trabajo, ayudando a construir torres residenciales a lo largo de la l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í</w:t>
      </w:r>
      <w:r>
        <w:rPr>
          <w:rFonts w:ascii="Georgia" w:hAnsi="Georgia"/>
          <w:sz w:val="21"/>
          <w:szCs w:val="21"/>
          <w:rtl w:val="0"/>
          <w:lang w:val="es-ES_tradnl"/>
        </w:rPr>
        <w:t>nea de costa en la capital. Seg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ú</w:t>
      </w:r>
      <w:r>
        <w:rPr>
          <w:rFonts w:ascii="Georgia" w:hAnsi="Georgia"/>
          <w:sz w:val="21"/>
          <w:szCs w:val="21"/>
          <w:rtl w:val="0"/>
          <w:lang w:val="es-ES_tradnl"/>
        </w:rPr>
        <w:t>n el CEO de Raymond Mizrachi, la compa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ñí</w:t>
      </w:r>
      <w:r>
        <w:rPr>
          <w:rFonts w:ascii="Georgia" w:hAnsi="Georgia"/>
          <w:sz w:val="21"/>
          <w:szCs w:val="21"/>
          <w:rtl w:val="0"/>
          <w:lang w:val="es-ES_tradnl"/>
        </w:rPr>
        <w:t>a quer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í</w:t>
      </w:r>
      <w:r>
        <w:rPr>
          <w:rFonts w:ascii="Georgia" w:hAnsi="Georgia"/>
          <w:sz w:val="21"/>
          <w:szCs w:val="21"/>
          <w:rtl w:val="0"/>
          <w:lang w:val="es-ES_tradnl"/>
        </w:rPr>
        <w:t>a invertir en las gr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ú</w:t>
      </w:r>
      <w:r>
        <w:rPr>
          <w:rFonts w:ascii="Georgia" w:hAnsi="Georgia"/>
          <w:sz w:val="21"/>
          <w:szCs w:val="21"/>
          <w:rtl w:val="0"/>
          <w:lang w:val="es-ES_tradnl"/>
        </w:rPr>
        <w:t>as torre que se puede colocar f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á</w:t>
      </w:r>
      <w:r>
        <w:rPr>
          <w:rFonts w:ascii="Georgia" w:hAnsi="Georgia"/>
          <w:sz w:val="21"/>
          <w:szCs w:val="21"/>
          <w:rtl w:val="0"/>
          <w:lang w:val="es-ES_tradnl"/>
        </w:rPr>
        <w:t>cilmente en el interior de los edificios durante la construcci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ó</w:t>
      </w:r>
      <w:r>
        <w:rPr>
          <w:rFonts w:ascii="Georgia" w:hAnsi="Georgia"/>
          <w:sz w:val="21"/>
          <w:szCs w:val="21"/>
          <w:rtl w:val="0"/>
          <w:lang w:val="es-ES_tradnl"/>
        </w:rPr>
        <w:t>n, una capacidad para la MCR 160, de 10 t, se est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 xml:space="preserve">á </w:t>
      </w:r>
      <w:r>
        <w:rPr>
          <w:rFonts w:ascii="Georgia" w:hAnsi="Georgia"/>
          <w:sz w:val="21"/>
          <w:szCs w:val="21"/>
          <w:rtl w:val="0"/>
          <w:lang w:val="es-ES_tradnl"/>
        </w:rPr>
        <w:t xml:space="preserve">haciendo conocido 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 xml:space="preserve">— </w:t>
      </w:r>
      <w:r>
        <w:rPr>
          <w:rFonts w:ascii="Georgia" w:hAnsi="Georgia"/>
          <w:sz w:val="21"/>
          <w:szCs w:val="21"/>
          <w:rtl w:val="0"/>
          <w:lang w:val="es-ES_tradnl"/>
        </w:rPr>
        <w:t>gracias en parte a Corpinsa traerlas visibilidad en el pa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í</w:t>
      </w:r>
      <w:r>
        <w:rPr>
          <w:rFonts w:ascii="Georgia" w:hAnsi="Georgia"/>
          <w:sz w:val="21"/>
          <w:szCs w:val="21"/>
          <w:rtl w:val="0"/>
          <w:lang w:val="es-ES_tradnl"/>
        </w:rPr>
        <w:t>s. La MCR 160 se puede montar tanto en 1,6 m y 2 m de ancho y cuenta con secciones de m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á</w:t>
      </w:r>
      <w:r>
        <w:rPr>
          <w:rFonts w:ascii="Georgia" w:hAnsi="Georgia"/>
          <w:sz w:val="21"/>
          <w:szCs w:val="21"/>
          <w:rtl w:val="0"/>
          <w:lang w:val="es-ES_tradnl"/>
        </w:rPr>
        <w:t>stil 10 t de capacidad m</w:t>
      </w:r>
      <w:r>
        <w:rPr>
          <w:rFonts w:ascii="Georgia" w:hAnsi="Georgia" w:hint="default"/>
          <w:sz w:val="21"/>
          <w:szCs w:val="21"/>
          <w:rtl w:val="0"/>
          <w:lang w:val="es-ES_tradnl"/>
        </w:rPr>
        <w:t>á</w:t>
      </w:r>
      <w:r>
        <w:rPr>
          <w:rFonts w:ascii="Georgia" w:hAnsi="Georgia"/>
          <w:sz w:val="21"/>
          <w:szCs w:val="21"/>
          <w:rtl w:val="0"/>
          <w:lang w:val="es-ES_tradnl"/>
        </w:rPr>
        <w:t>xima. Puede montarse con hasta 50 m de horca principal, que ofrece una capacidad de carga de foque final de 2,4 t.</w:t>
      </w:r>
    </w:p>
    <w:p>
      <w:pPr>
        <w:pStyle w:val="Body"/>
        <w:spacing w:line="276" w:lineRule="auto"/>
        <w:rPr>
          <w:rFonts w:ascii="Georgia" w:cs="Georgia" w:hAnsi="Georgia" w:eastAsia="Georgia"/>
          <w:sz w:val="21"/>
          <w:szCs w:val="21"/>
          <w:lang w:val="es-ES_tradnl"/>
        </w:rPr>
      </w:pPr>
    </w:p>
    <w:p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cs="Georgia" w:hAnsi="Georgia" w:eastAsia="Georgia"/>
          <w:sz w:val="21"/>
          <w:szCs w:val="21"/>
        </w:rPr>
      </w:pPr>
      <w:r>
        <w:rPr>
          <w:rFonts w:ascii="Georgia" w:hAnsi="Georgia"/>
          <w:sz w:val="21"/>
          <w:szCs w:val="21"/>
          <w:rtl w:val="0"/>
          <w:lang w:val="es-ES_tradnl"/>
        </w:rPr>
        <w:t>-FIN-</w:t>
      </w:r>
    </w:p>
    <w:p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cs="Georgia" w:hAnsi="Georgia" w:eastAsia="Georgia"/>
          <w:sz w:val="21"/>
          <w:szCs w:val="21"/>
          <w:lang w:val="es-ES_tradnl"/>
        </w:rPr>
      </w:pPr>
    </w:p>
    <w:p>
      <w:pPr>
        <w:pStyle w:val="Body"/>
        <w:spacing w:line="276" w:lineRule="auto"/>
        <w:outlineLvl w:val="0"/>
        <w:rPr>
          <w:rFonts w:ascii="Verdana" w:cs="Verdana" w:hAnsi="Verdana" w:eastAsia="Verdana"/>
          <w:b w:val="1"/>
          <w:bCs w:val="1"/>
          <w:color w:val="41525c"/>
          <w:sz w:val="18"/>
          <w:szCs w:val="18"/>
          <w:u w:color="41525c"/>
        </w:rPr>
      </w:pPr>
      <w:r>
        <w:rPr>
          <w:rFonts w:ascii="Verdana" w:hAnsi="Verdana"/>
          <w:color w:val="ed1c2a"/>
          <w:sz w:val="18"/>
          <w:szCs w:val="18"/>
          <w:u w:color="ed1c2a"/>
          <w:rtl w:val="0"/>
          <w:lang w:val="es-ES_tradnl"/>
        </w:rPr>
        <w:t xml:space="preserve">CONTACTO </w:t>
        <w:tab/>
        <w:tab/>
        <w:tab/>
        <w:tab/>
      </w:r>
    </w:p>
    <w:p>
      <w:pPr>
        <w:pStyle w:val="Body"/>
        <w:tabs>
          <w:tab w:val="left" w:pos="3969"/>
        </w:tabs>
        <w:spacing w:line="276" w:lineRule="auto"/>
        <w:rPr>
          <w:rFonts w:ascii="Verdana" w:cs="Verdana" w:hAnsi="Verdana" w:eastAsia="Verdana"/>
          <w:color w:val="41525c"/>
          <w:sz w:val="18"/>
          <w:szCs w:val="18"/>
          <w:u w:color="41525c"/>
        </w:rPr>
      </w:pPr>
      <w:r>
        <w:rPr>
          <w:rFonts w:ascii="Verdana" w:hAnsi="Verdana"/>
          <w:b w:val="1"/>
          <w:bCs w:val="1"/>
          <w:color w:val="41525c"/>
          <w:sz w:val="18"/>
          <w:szCs w:val="18"/>
          <w:u w:color="41525c"/>
          <w:rtl w:val="0"/>
          <w:lang w:val="es-ES_tradnl"/>
        </w:rPr>
        <w:t>Amy Marten</w:t>
      </w:r>
      <w:r>
        <w:rPr>
          <w:sz w:val="18"/>
          <w:szCs w:val="18"/>
          <w:lang w:val="es-ES_tradnl"/>
        </w:rPr>
        <w:tab/>
      </w:r>
      <w:r>
        <w:rPr>
          <w:rFonts w:ascii="Verdana" w:hAnsi="Verdana"/>
          <w:b w:val="1"/>
          <w:bCs w:val="1"/>
          <w:color w:val="41525c"/>
          <w:sz w:val="18"/>
          <w:szCs w:val="18"/>
          <w:u w:color="41525c"/>
          <w:rtl w:val="0"/>
          <w:lang w:val="es-ES_tradnl"/>
        </w:rPr>
        <w:t>Ricardo Rosa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 xml:space="preserve"> </w:t>
      </w:r>
    </w:p>
    <w:p>
      <w:pPr>
        <w:pStyle w:val="Body"/>
        <w:tabs>
          <w:tab w:val="left" w:pos="3969"/>
        </w:tabs>
        <w:spacing w:line="276" w:lineRule="auto"/>
        <w:rPr>
          <w:rFonts w:ascii="Verdana" w:cs="Verdana" w:hAnsi="Verdana" w:eastAsia="Verdana"/>
          <w:color w:val="41525c"/>
          <w:sz w:val="18"/>
          <w:szCs w:val="18"/>
          <w:u w:color="41525c"/>
        </w:rPr>
      </w:pPr>
      <w:r>
        <w:rPr>
          <w:rFonts w:ascii="Verdana" w:hAnsi="Verdana"/>
          <w:color w:val="41525c"/>
          <w:sz w:val="18"/>
          <w:szCs w:val="18"/>
          <w:u w:color="41525c"/>
          <w:rtl w:val="0"/>
          <w:lang w:val="de-DE"/>
        </w:rPr>
        <w:t>Manitowoc</w:t>
      </w:r>
      <w:r>
        <w:rPr>
          <w:sz w:val="18"/>
          <w:szCs w:val="18"/>
          <w:lang w:val="de-DE"/>
        </w:rPr>
        <w:tab/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de-DE"/>
        </w:rPr>
        <w:t>SE10</w:t>
      </w:r>
    </w:p>
    <w:p>
      <w:pPr>
        <w:pStyle w:val="Body"/>
        <w:tabs>
          <w:tab w:val="left" w:pos="3969"/>
        </w:tabs>
        <w:spacing w:line="276" w:lineRule="auto"/>
        <w:rPr>
          <w:rFonts w:ascii="Verdana" w:cs="Verdana" w:hAnsi="Verdana" w:eastAsia="Verdana"/>
          <w:color w:val="41525c"/>
          <w:sz w:val="18"/>
          <w:szCs w:val="18"/>
          <w:u w:color="41525c"/>
        </w:rPr>
      </w:pPr>
      <w:r>
        <w:rPr>
          <w:rFonts w:ascii="Verdana" w:hAnsi="Verdana"/>
          <w:color w:val="41525c"/>
          <w:sz w:val="18"/>
          <w:szCs w:val="18"/>
          <w:u w:color="41525c"/>
          <w:rtl w:val="0"/>
          <w:lang w:val="de-DE"/>
        </w:rPr>
        <w:t>T +1 920 683 6345</w:t>
        <w:tab/>
        <w:t>T +1 312 548 8444</w:t>
      </w:r>
    </w:p>
    <w:p>
      <w:pPr>
        <w:pStyle w:val="Body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cs="Verdana" w:hAnsi="Verdana" w:eastAsia="Verdana"/>
          <w:b w:val="1"/>
          <w:bCs w:val="1"/>
          <w:color w:val="41525c"/>
          <w:sz w:val="18"/>
          <w:szCs w:val="18"/>
          <w:u w:color="41525c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"mailto:chris.bratthauar@manitowoc.com"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 xml:space="preserve">amy.marten@manitowoc.com </w:t>
      </w:r>
      <w:r>
        <w:rPr/>
        <w:fldChar w:fldCharType="end" w:fldLock="0"/>
      </w:r>
      <w:r>
        <w:rPr>
          <w:rFonts w:ascii="Verdana" w:cs="Verdana" w:hAnsi="Verdana" w:eastAsia="Verdana"/>
          <w:color w:val="41525c"/>
          <w:sz w:val="18"/>
          <w:szCs w:val="18"/>
          <w:u w:color="41525c"/>
          <w:lang w:val="de-DE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"mailto:Damian.Joseph@se10.com"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ricardo.rosa@se10.com</w:t>
      </w:r>
      <w:r>
        <w:rPr/>
        <w:fldChar w:fldCharType="end" w:fldLock="0"/>
      </w:r>
    </w:p>
    <w:p>
      <w:pPr>
        <w:pStyle w:val="Body"/>
        <w:spacing w:line="276" w:lineRule="auto"/>
        <w:rPr>
          <w:rFonts w:ascii="Georgia" w:cs="Georgia" w:hAnsi="Georgia" w:eastAsia="Georgia"/>
          <w:sz w:val="18"/>
          <w:szCs w:val="18"/>
          <w:lang w:val="de-DE"/>
        </w:rPr>
      </w:pPr>
    </w:p>
    <w:p>
      <w:pPr>
        <w:pStyle w:val="Body"/>
        <w:spacing w:line="276" w:lineRule="auto"/>
        <w:rPr>
          <w:rFonts w:ascii="Georgia" w:cs="Georgia" w:hAnsi="Georgia" w:eastAsia="Georgia"/>
          <w:sz w:val="18"/>
          <w:szCs w:val="18"/>
          <w:lang w:val="de-DE"/>
        </w:rPr>
      </w:pPr>
    </w:p>
    <w:p>
      <w:pPr>
        <w:pStyle w:val="Body"/>
        <w:spacing w:line="276" w:lineRule="auto"/>
        <w:rPr>
          <w:rFonts w:ascii="Verdana" w:cs="Verdana" w:hAnsi="Verdana" w:eastAsia="Verdana"/>
          <w:color w:val="41525c"/>
          <w:sz w:val="18"/>
          <w:szCs w:val="18"/>
          <w:u w:color="41525c"/>
        </w:rPr>
      </w:pPr>
      <w:r>
        <w:rPr>
          <w:rFonts w:ascii="Verdana" w:hAnsi="Verdana"/>
          <w:color w:val="ed1c2a"/>
          <w:sz w:val="18"/>
          <w:szCs w:val="18"/>
          <w:u w:color="ed1c2a"/>
          <w:rtl w:val="0"/>
          <w:lang w:val="es-ES_tradnl"/>
        </w:rPr>
        <w:t>ACERCA DE MANITOWOC COMPANY, INC.</w:t>
      </w:r>
      <w:r>
        <w:rPr>
          <w:rFonts w:ascii="Verdana" w:hAnsi="Verdana"/>
          <w:sz w:val="18"/>
          <w:szCs w:val="1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Fundada en 1902, The Manitowoc Company, Inc. es un fabricante global l</w:t>
      </w:r>
      <w:r>
        <w:rPr>
          <w:rFonts w:ascii="Verdana" w:hAnsi="Verdana" w:hint="default"/>
          <w:color w:val="41525c"/>
          <w:sz w:val="18"/>
          <w:szCs w:val="18"/>
          <w:u w:color="41525c"/>
          <w:rtl w:val="0"/>
          <w:lang w:val="es-ES_tradnl"/>
        </w:rPr>
        <w:t>í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der de gr</w:t>
      </w:r>
      <w:r>
        <w:rPr>
          <w:rFonts w:ascii="Verdana" w:hAnsi="Verdana" w:hint="default"/>
          <w:color w:val="41525c"/>
          <w:sz w:val="18"/>
          <w:szCs w:val="18"/>
          <w:u w:color="41525c"/>
          <w:rtl w:val="0"/>
          <w:lang w:val="es-ES_tradnl"/>
        </w:rPr>
        <w:t>ú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as y soluciones de elevaci</w:t>
      </w:r>
      <w:r>
        <w:rPr>
          <w:rFonts w:ascii="Verdana" w:hAnsi="Verdana" w:hint="default"/>
          <w:color w:val="41525c"/>
          <w:sz w:val="18"/>
          <w:szCs w:val="18"/>
          <w:u w:color="41525c"/>
          <w:rtl w:val="0"/>
          <w:lang w:val="es-ES_tradnl"/>
        </w:rPr>
        <w:t>ó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n con instalaciones de fabricaci</w:t>
      </w:r>
      <w:r>
        <w:rPr>
          <w:rFonts w:ascii="Verdana" w:hAnsi="Verdana" w:hint="default"/>
          <w:color w:val="41525c"/>
          <w:sz w:val="18"/>
          <w:szCs w:val="18"/>
          <w:u w:color="41525c"/>
          <w:rtl w:val="0"/>
          <w:lang w:val="es-ES_tradnl"/>
        </w:rPr>
        <w:t>ó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n, distribuci</w:t>
      </w:r>
      <w:r>
        <w:rPr>
          <w:rFonts w:ascii="Verdana" w:hAnsi="Verdana" w:hint="default"/>
          <w:color w:val="41525c"/>
          <w:sz w:val="18"/>
          <w:szCs w:val="18"/>
          <w:u w:color="41525c"/>
          <w:rtl w:val="0"/>
          <w:lang w:val="es-ES_tradnl"/>
        </w:rPr>
        <w:t>ó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n y servicio en 20 pa</w:t>
      </w:r>
      <w:r>
        <w:rPr>
          <w:rFonts w:ascii="Verdana" w:hAnsi="Verdana" w:hint="default"/>
          <w:color w:val="41525c"/>
          <w:sz w:val="18"/>
          <w:szCs w:val="18"/>
          <w:u w:color="41525c"/>
          <w:rtl w:val="0"/>
          <w:lang w:val="es-ES_tradnl"/>
        </w:rPr>
        <w:t>í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ses. Manitowoc es reconocida como uno de los principales innovadores y proveedores de gr</w:t>
      </w:r>
      <w:r>
        <w:rPr>
          <w:rFonts w:ascii="Verdana" w:hAnsi="Verdana" w:hint="default"/>
          <w:color w:val="41525c"/>
          <w:sz w:val="18"/>
          <w:szCs w:val="18"/>
          <w:u w:color="41525c"/>
          <w:rtl w:val="0"/>
          <w:lang w:val="es-ES_tradnl"/>
        </w:rPr>
        <w:t>ú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as de oruga, gr</w:t>
      </w:r>
      <w:r>
        <w:rPr>
          <w:rFonts w:ascii="Verdana" w:hAnsi="Verdana" w:hint="default"/>
          <w:color w:val="41525c"/>
          <w:sz w:val="18"/>
          <w:szCs w:val="18"/>
          <w:u w:color="41525c"/>
          <w:rtl w:val="0"/>
          <w:lang w:val="es-ES_tradnl"/>
        </w:rPr>
        <w:t>ú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as torre y gr</w:t>
      </w:r>
      <w:r>
        <w:rPr>
          <w:rFonts w:ascii="Verdana" w:hAnsi="Verdana" w:hint="default"/>
          <w:color w:val="41525c"/>
          <w:sz w:val="18"/>
          <w:szCs w:val="18"/>
          <w:u w:color="41525c"/>
          <w:rtl w:val="0"/>
          <w:lang w:val="es-ES_tradnl"/>
        </w:rPr>
        <w:t>ú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as m</w:t>
      </w:r>
      <w:r>
        <w:rPr>
          <w:rFonts w:ascii="Verdana" w:hAnsi="Verdana" w:hint="default"/>
          <w:color w:val="41525c"/>
          <w:sz w:val="18"/>
          <w:szCs w:val="18"/>
          <w:u w:color="41525c"/>
          <w:rtl w:val="0"/>
          <w:lang w:val="es-ES_tradnl"/>
        </w:rPr>
        <w:t>ó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viles para la industria de la construcci</w:t>
      </w:r>
      <w:r>
        <w:rPr>
          <w:rFonts w:ascii="Verdana" w:hAnsi="Verdana" w:hint="default"/>
          <w:color w:val="41525c"/>
          <w:sz w:val="18"/>
          <w:szCs w:val="18"/>
          <w:u w:color="41525c"/>
          <w:rtl w:val="0"/>
          <w:lang w:val="es-ES_tradnl"/>
        </w:rPr>
        <w:t>ó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n pesada, las cuales son complementadas por una serie de servicios de apoyo al producto posventa a la vanguardia de la industria. En el 2015, los ingresos de Manitowoc alcanzaron los US$1900 millones, con m</w:t>
      </w:r>
      <w:r>
        <w:rPr>
          <w:rFonts w:ascii="Verdana" w:hAnsi="Verdana" w:hint="default"/>
          <w:color w:val="41525c"/>
          <w:sz w:val="18"/>
          <w:szCs w:val="18"/>
          <w:u w:color="41525c"/>
          <w:rtl w:val="0"/>
          <w:lang w:val="es-ES_tradnl"/>
        </w:rPr>
        <w:t>á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s de la mitad de ese monto generado afuera de los Estados Unidos.</w:t>
      </w:r>
    </w:p>
    <w:p>
      <w:pPr>
        <w:pStyle w:val="Body"/>
        <w:spacing w:line="276" w:lineRule="auto"/>
        <w:rPr>
          <w:rFonts w:ascii="Verdana" w:cs="Verdana" w:hAnsi="Verdana" w:eastAsia="Verdana"/>
          <w:color w:val="41525c"/>
          <w:sz w:val="18"/>
          <w:szCs w:val="18"/>
          <w:u w:color="41525c"/>
          <w:lang w:val="es-ES_tradnl"/>
        </w:rPr>
      </w:pPr>
    </w:p>
    <w:p>
      <w:pPr>
        <w:pStyle w:val="Body"/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  <w:u w:color="ed1c2a"/>
          <w:rtl w:val="0"/>
          <w:lang w:val="de-DE"/>
        </w:rPr>
        <w:t>MANITOWOC CRANES</w:t>
      </w:r>
    </w:p>
    <w:p>
      <w:pPr>
        <w:pStyle w:val="Body"/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  <w:u w:color="41525c"/>
          <w:rtl w:val="0"/>
          <w:lang w:val="en-US"/>
        </w:rPr>
        <w:t>2401 South 30</w:t>
      </w:r>
      <w:r>
        <w:rPr>
          <w:rFonts w:ascii="Verdana" w:hAnsi="Verdana"/>
          <w:color w:val="41525c"/>
          <w:sz w:val="18"/>
          <w:szCs w:val="18"/>
          <w:u w:color="41525c"/>
          <w:vertAlign w:val="superscript"/>
          <w:rtl w:val="0"/>
          <w:lang w:val="en-US"/>
        </w:rPr>
        <w:t>th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en-US"/>
        </w:rPr>
        <w:t xml:space="preserve"> Street - PO Box 70</w:t>
      </w:r>
      <w:r>
        <w:rPr>
          <w:sz w:val="18"/>
          <w:szCs w:val="18"/>
          <w:rtl w:val="0"/>
          <w:lang w:val="ru-RU"/>
        </w:rPr>
        <w:t xml:space="preserve"> - </w:t>
      </w:r>
      <w:r>
        <w:rPr>
          <w:rFonts w:ascii="Verdana" w:hAnsi="Verdana"/>
          <w:color w:val="41525c"/>
          <w:sz w:val="18"/>
          <w:szCs w:val="18"/>
          <w:u w:color="41525c"/>
          <w:rtl w:val="0"/>
        </w:rPr>
        <w:t>Manitowoc, WI 54221-0070</w:t>
      </w:r>
    </w:p>
    <w:p>
      <w:pPr>
        <w:pStyle w:val="Body"/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  <w:u w:color="41525c"/>
          <w:rtl w:val="0"/>
          <w:lang w:val="es-ES_tradnl"/>
        </w:rPr>
        <w:t>T +1 920 684 6621</w:t>
      </w:r>
    </w:p>
    <w:p>
      <w:pPr>
        <w:pStyle w:val="Body"/>
        <w:spacing w:line="276" w:lineRule="auto"/>
        <w:rPr>
          <w:rFonts w:ascii="Verdana" w:cs="Verdana" w:hAnsi="Verdana" w:eastAsia="Verdana"/>
          <w:b w:val="1"/>
          <w:bCs w:val="1"/>
          <w:color w:val="41525c"/>
          <w:sz w:val="18"/>
          <w:szCs w:val="18"/>
          <w:u w:val="single" w:color="41525c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"http://www.manitowoccranes.com"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www.manitowoccranes.com</w:t>
      </w:r>
      <w:r>
        <w:rPr/>
        <w:fldChar w:fldCharType="end" w:fldLock="0"/>
      </w:r>
    </w:p>
    <w:p>
      <w:pPr>
        <w:pStyle w:val="Body"/>
        <w:spacing w:line="276" w:lineRule="auto"/>
      </w:pPr>
      <w:r>
        <w:rPr>
          <w:rStyle w:val="Link"/>
          <w:rFonts w:ascii="Verdana" w:cs="Verdana" w:hAnsi="Verdana" w:eastAsia="Verdana"/>
          <w:b w:val="1"/>
          <w:bCs w:val="1"/>
          <w:color w:val="41525c"/>
          <w:sz w:val="18"/>
          <w:szCs w:val="18"/>
          <w:u w:val="single" w:color="41525c"/>
          <w:lang w:val="es-ES_tradnl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1134" w:right="1418" w:bottom="2268" w:left="1418" w:header="1134" w:footer="18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tabs>
        <w:tab w:val="left" w:pos="6096"/>
      </w:tabs>
      <w:spacing w:line="276" w:lineRule="auto"/>
      <w:jc w:val="right"/>
      <w:rPr>
        <w:rFonts w:ascii="Verdana" w:hAnsi="Verdana"/>
        <w:b w:val="1"/>
        <w:bCs w:val="1"/>
        <w:color w:val="41525c"/>
        <w:sz w:val="16"/>
        <w:szCs w:val="16"/>
        <w:u w:color="41525c"/>
        <w:lang w:val="es-ES_tradnl"/>
      </w:rPr>
    </w:pPr>
  </w:p>
  <w:p>
    <w:pPr>
      <w:pStyle w:val="Body"/>
      <w:tabs>
        <w:tab w:val="left" w:pos="1055"/>
        <w:tab w:val="left" w:pos="4111"/>
        <w:tab w:val="left" w:pos="7371"/>
      </w:tabs>
      <w:spacing w:line="276" w:lineRule="auto"/>
      <w:rPr>
        <w:rFonts w:ascii="Verdana" w:cs="Verdana" w:hAnsi="Verdana" w:eastAsia="Verdana"/>
        <w:b w:val="1"/>
        <w:bCs w:val="1"/>
        <w:color w:val="41525c"/>
        <w:sz w:val="18"/>
        <w:szCs w:val="18"/>
        <w:u w:color="41525c"/>
      </w:rPr>
    </w:pPr>
    <w:r>
      <w:rPr>
        <w:rFonts w:ascii="Verdana" w:hAnsi="Verdana"/>
        <w:b w:val="1"/>
        <w:bCs w:val="1"/>
        <w:color w:val="41525c"/>
        <w:sz w:val="18"/>
        <w:szCs w:val="18"/>
        <w:u w:color="41525c"/>
        <w:rtl w:val="0"/>
        <w:lang w:val="es-ES_tradnl"/>
      </w:rPr>
      <w:t xml:space="preserve">Header </w:t>
    </w:r>
  </w:p>
  <w:p>
    <w:pPr>
      <w:pStyle w:val="Body"/>
      <w:tabs>
        <w:tab w:val="left" w:pos="1055"/>
        <w:tab w:val="left" w:pos="4111"/>
        <w:tab w:val="left" w:pos="7371"/>
      </w:tabs>
      <w:spacing w:line="276" w:lineRule="auto"/>
      <w:rPr>
        <w:rFonts w:ascii="Verdana" w:cs="Verdana" w:hAnsi="Verdana" w:eastAsia="Verdana"/>
        <w:color w:val="ed1c2a"/>
        <w:sz w:val="18"/>
        <w:szCs w:val="18"/>
        <w:u w:color="ed1c2a"/>
      </w:rPr>
    </w:pPr>
    <w:r>
      <w:rPr>
        <w:rFonts w:ascii="Verdana" w:hAnsi="Verdana"/>
        <w:color w:val="41525c"/>
        <w:sz w:val="18"/>
        <w:szCs w:val="18"/>
        <w:u w:color="41525c"/>
        <w:rtl w:val="0"/>
        <w:lang w:val="es-ES_tradnl"/>
      </w:rPr>
      <w:t>xx de xxxx de 2016</w:t>
    </w:r>
  </w:p>
  <w:p>
    <w:pPr>
      <w:pStyle w:val="Body"/>
      <w:spacing w:line="276" w:lineRule="auto"/>
    </w:pPr>
    <w:r>
      <w:rPr>
        <w:rFonts w:ascii="Verdana" w:cs="Verdana" w:hAnsi="Verdana" w:eastAsia="Verdana"/>
        <w:sz w:val="16"/>
        <w:szCs w:val="16"/>
        <w:lang w:val="pt-PT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Verdana" w:cs="Verdana" w:hAnsi="Verdana" w:eastAsia="Verdana"/>
      <w:color w:val="41525c"/>
      <w:sz w:val="18"/>
      <w:szCs w:val="18"/>
      <w:u w:color="41525c"/>
      <w:lang w:val="de-DE"/>
    </w:rPr>
  </w:style>
  <w:style w:type="character" w:styleId="Hyperlink.1">
    <w:name w:val="Hyperlink.1"/>
    <w:basedOn w:val="Link"/>
    <w:next w:val="Hyperlink.1"/>
    <w:rPr>
      <w:rFonts w:ascii="Verdana" w:cs="Verdana" w:hAnsi="Verdana" w:eastAsia="Verdana"/>
      <w:b w:val="1"/>
      <w:bCs w:val="1"/>
      <w:color w:val="41525c"/>
      <w:sz w:val="18"/>
      <w:szCs w:val="18"/>
      <w:u w:color="41525c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