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45F7" w14:textId="11E26564" w:rsidR="0092578F" w:rsidRPr="00E212EB" w:rsidRDefault="00766D7F" w:rsidP="006A44E8">
      <w:pPr>
        <w:tabs>
          <w:tab w:val="left" w:pos="6096"/>
        </w:tabs>
        <w:spacing w:line="276" w:lineRule="auto"/>
        <w:rPr>
          <w:rFonts w:ascii="Verdana" w:eastAsia="Verdana" w:hAnsi="Verdana" w:cs="Verdana"/>
          <w:color w:val="ED1C2A"/>
          <w:sz w:val="30"/>
          <w:szCs w:val="30"/>
        </w:rPr>
      </w:pPr>
      <w:r w:rsidRPr="00E212EB">
        <w:rPr>
          <w:rFonts w:ascii="Georgia" w:hAnsi="Georgia"/>
          <w:noProof/>
          <w:sz w:val="21"/>
          <w:szCs w:val="21"/>
        </w:rPr>
        <w:drawing>
          <wp:anchor distT="0" distB="0" distL="114300" distR="114300" simplePos="0" relativeHeight="251658240" behindDoc="1" locked="0" layoutInCell="1" allowOverlap="1" wp14:anchorId="3590D8C5" wp14:editId="518CB7F2">
            <wp:simplePos x="0" y="0"/>
            <wp:positionH relativeFrom="column">
              <wp:posOffset>-45085</wp:posOffset>
            </wp:positionH>
            <wp:positionV relativeFrom="paragraph">
              <wp:posOffset>0</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D71840">
        <w:rPr>
          <w:rFonts w:ascii="Verdana" w:eastAsia="Verdana" w:hAnsi="Verdana" w:cs="Verdana"/>
          <w:color w:val="ED1C2A"/>
          <w:sz w:val="30"/>
          <w:szCs w:val="30"/>
          <w:lang w:val="en-GB"/>
        </w:rPr>
        <w:t xml:space="preserve">                          </w:t>
      </w:r>
      <w:r w:rsidR="19A45124" w:rsidRPr="542F734B">
        <w:rPr>
          <w:rFonts w:ascii="Verdana" w:eastAsia="Verdana" w:hAnsi="Verdana" w:cs="Verdana"/>
          <w:color w:val="ED1C2A"/>
          <w:sz w:val="30"/>
          <w:szCs w:val="30"/>
          <w:lang w:val="en-GB"/>
        </w:rPr>
        <w:t xml:space="preserve">COMMUNIQUÉ </w:t>
      </w:r>
      <w:proofErr w:type="gramStart"/>
      <w:r w:rsidR="19A45124" w:rsidRPr="542F734B">
        <w:rPr>
          <w:rFonts w:ascii="Verdana" w:eastAsia="Verdana" w:hAnsi="Verdana" w:cs="Verdana"/>
          <w:color w:val="ED1C2A"/>
          <w:sz w:val="30"/>
          <w:szCs w:val="30"/>
          <w:lang w:val="en-GB"/>
        </w:rPr>
        <w:t xml:space="preserve">DE </w:t>
      </w:r>
      <w:r w:rsidR="5C66EF6E" w:rsidRPr="542F734B">
        <w:rPr>
          <w:rFonts w:ascii="Verdana" w:eastAsia="Verdana" w:hAnsi="Verdana" w:cs="Verdana"/>
          <w:color w:val="ED1C2A"/>
          <w:sz w:val="30"/>
          <w:szCs w:val="30"/>
          <w:lang w:val="en-GB"/>
        </w:rPr>
        <w:t xml:space="preserve"> </w:t>
      </w:r>
      <w:r w:rsidR="19A45124" w:rsidRPr="542F734B">
        <w:rPr>
          <w:rFonts w:ascii="Verdana" w:eastAsia="Verdana" w:hAnsi="Verdana" w:cs="Verdana"/>
          <w:color w:val="ED1C2A"/>
          <w:sz w:val="30"/>
          <w:szCs w:val="30"/>
          <w:lang w:val="en-GB"/>
        </w:rPr>
        <w:t>PRESSE</w:t>
      </w:r>
      <w:proofErr w:type="gramEnd"/>
    </w:p>
    <w:p w14:paraId="23C210AC" w14:textId="7557F23E" w:rsidR="0092578F" w:rsidRPr="00E212EB" w:rsidRDefault="00F521E3" w:rsidP="542F734B">
      <w:pPr>
        <w:spacing w:line="276" w:lineRule="auto"/>
        <w:jc w:val="right"/>
      </w:pPr>
      <w:r>
        <w:rPr>
          <w:rFonts w:ascii="Verdana" w:eastAsia="Verdana" w:hAnsi="Verdana" w:cs="Verdana"/>
          <w:color w:val="41525C"/>
          <w:sz w:val="18"/>
          <w:szCs w:val="18"/>
        </w:rPr>
        <w:t>12</w:t>
      </w:r>
      <w:r w:rsidR="001307D5">
        <w:rPr>
          <w:rFonts w:ascii="Verdana" w:eastAsia="Verdana" w:hAnsi="Verdana" w:cs="Verdana"/>
          <w:color w:val="41525C"/>
          <w:sz w:val="18"/>
          <w:szCs w:val="18"/>
        </w:rPr>
        <w:t xml:space="preserve"> </w:t>
      </w:r>
      <w:proofErr w:type="spellStart"/>
      <w:r w:rsidR="001307D5">
        <w:rPr>
          <w:rFonts w:ascii="Verdana" w:eastAsia="Verdana" w:hAnsi="Verdana" w:cs="Verdana"/>
          <w:color w:val="41525C"/>
          <w:sz w:val="18"/>
          <w:szCs w:val="18"/>
        </w:rPr>
        <w:t>juin</w:t>
      </w:r>
      <w:proofErr w:type="spellEnd"/>
      <w:r w:rsidR="19A45124" w:rsidRPr="542F734B">
        <w:rPr>
          <w:rFonts w:ascii="Verdana" w:eastAsia="Verdana" w:hAnsi="Verdana" w:cs="Verdana"/>
          <w:color w:val="41525C"/>
          <w:sz w:val="18"/>
          <w:szCs w:val="18"/>
        </w:rPr>
        <w:t xml:space="preserve"> </w:t>
      </w:r>
      <w:r w:rsidR="19A45124" w:rsidRPr="5B85A38C">
        <w:rPr>
          <w:rFonts w:ascii="Verdana" w:eastAsia="Verdana" w:hAnsi="Verdana" w:cs="Verdana"/>
          <w:color w:val="41525C"/>
          <w:sz w:val="18"/>
          <w:szCs w:val="18"/>
        </w:rPr>
        <w:t>202</w:t>
      </w:r>
      <w:r w:rsidR="54E8A609" w:rsidRPr="5B85A38C">
        <w:rPr>
          <w:rFonts w:ascii="Verdana" w:eastAsia="Verdana" w:hAnsi="Verdana" w:cs="Verdana"/>
          <w:color w:val="41525C"/>
          <w:sz w:val="18"/>
          <w:szCs w:val="18"/>
        </w:rPr>
        <w:t>5</w:t>
      </w:r>
      <w:r w:rsidR="19A45124" w:rsidRPr="542F734B">
        <w:rPr>
          <w:rFonts w:ascii="Verdana" w:hAnsi="Verdana"/>
          <w:color w:val="ED1C2A"/>
          <w:sz w:val="30"/>
          <w:szCs w:val="30"/>
        </w:rPr>
        <w:t xml:space="preserve"> </w:t>
      </w:r>
    </w:p>
    <w:p w14:paraId="0D017E90" w14:textId="77777777" w:rsidR="00795D9D" w:rsidRDefault="00795D9D" w:rsidP="2F56F89A">
      <w:pPr>
        <w:spacing w:line="276" w:lineRule="auto"/>
        <w:rPr>
          <w:rFonts w:ascii="Roboto" w:eastAsia="Roboto" w:hAnsi="Roboto" w:cs="Roboto"/>
          <w:b/>
          <w:bCs/>
          <w:lang w:val="fr-FR"/>
        </w:rPr>
      </w:pPr>
    </w:p>
    <w:p w14:paraId="0D3F7789" w14:textId="4FA63A8A" w:rsidR="5776FB8D" w:rsidRDefault="42C95CC8" w:rsidP="2F56F89A">
      <w:pPr>
        <w:spacing w:line="276" w:lineRule="auto"/>
        <w:rPr>
          <w:rFonts w:ascii="Roboto" w:eastAsia="Roboto" w:hAnsi="Roboto" w:cs="Roboto"/>
          <w:b/>
          <w:bCs/>
        </w:rPr>
      </w:pPr>
      <w:r w:rsidRPr="42C95CC8">
        <w:rPr>
          <w:rFonts w:ascii="Roboto" w:eastAsia="Roboto" w:hAnsi="Roboto" w:cs="Roboto"/>
          <w:b/>
          <w:bCs/>
          <w:lang w:val="fr-FR"/>
        </w:rPr>
        <w:t>Améliorer les compétences des techniciens dans la mine d’or de Yaouré</w:t>
      </w:r>
    </w:p>
    <w:p w14:paraId="7B6232F2" w14:textId="33FF9FC4" w:rsidR="5776FB8D" w:rsidRDefault="5776FB8D" w:rsidP="2F56F89A">
      <w:pPr>
        <w:spacing w:line="276" w:lineRule="auto"/>
        <w:rPr>
          <w:rFonts w:ascii="Roboto" w:hAnsi="Roboto" w:cs="Georgia"/>
          <w:b/>
          <w:bCs/>
        </w:rPr>
      </w:pPr>
    </w:p>
    <w:p w14:paraId="57977493" w14:textId="110B0607" w:rsidR="7E1DCB72" w:rsidRDefault="7E1DCB72" w:rsidP="2F56F89A">
      <w:pPr>
        <w:pStyle w:val="ListParagraph"/>
        <w:numPr>
          <w:ilvl w:val="0"/>
          <w:numId w:val="17"/>
        </w:numPr>
        <w:spacing w:line="276" w:lineRule="auto"/>
        <w:rPr>
          <w:rFonts w:ascii="Roboto" w:eastAsia="Roboto" w:hAnsi="Roboto" w:cs="Roboto"/>
          <w:i/>
          <w:iCs/>
          <w:sz w:val="20"/>
          <w:szCs w:val="20"/>
          <w:lang w:val="fr-FR"/>
        </w:rPr>
      </w:pPr>
      <w:r w:rsidRPr="2F56F89A">
        <w:rPr>
          <w:rFonts w:ascii="Roboto" w:eastAsia="Roboto" w:hAnsi="Roboto" w:cs="Roboto"/>
          <w:i/>
          <w:iCs/>
          <w:sz w:val="20"/>
          <w:szCs w:val="20"/>
          <w:lang w:val="fr-FR"/>
        </w:rPr>
        <w:t>Dans la mine d’or de Yaouré, en Côte d’Ivoire, une grue automotrice routière Grove s’avère indispensable au quotidien pour la maintenance des équipements de l’exploitation.</w:t>
      </w:r>
    </w:p>
    <w:p w14:paraId="20FD9C72" w14:textId="6E5B091A" w:rsidR="7E1DCB72" w:rsidRDefault="7E1DCB72" w:rsidP="2F56F89A">
      <w:pPr>
        <w:pStyle w:val="ListParagraph"/>
        <w:numPr>
          <w:ilvl w:val="0"/>
          <w:numId w:val="17"/>
        </w:numPr>
        <w:spacing w:line="276" w:lineRule="auto"/>
        <w:rPr>
          <w:rFonts w:ascii="Roboto" w:eastAsia="Roboto" w:hAnsi="Roboto" w:cs="Roboto"/>
          <w:sz w:val="20"/>
          <w:szCs w:val="20"/>
          <w:lang w:val="en-US"/>
        </w:rPr>
      </w:pPr>
      <w:r w:rsidRPr="2F56F89A">
        <w:rPr>
          <w:rFonts w:ascii="Roboto" w:eastAsia="Roboto" w:hAnsi="Roboto" w:cs="Roboto"/>
          <w:i/>
          <w:iCs/>
          <w:sz w:val="20"/>
          <w:szCs w:val="20"/>
          <w:lang w:val="fr-FR"/>
        </w:rPr>
        <w:t>Du fait de l’isolement de la mine, son personnel avait besoin d’une formation sur site pour assurer la maintenance et les réparations de la grue en toute autonomie. Manitowoc a favorisé l’indépendance de l’équipe qui tire désormais le meilleur de la grue.</w:t>
      </w:r>
    </w:p>
    <w:p w14:paraId="0CD5F7DD" w14:textId="341822E5" w:rsidR="2F56F89A" w:rsidRDefault="2F56F89A" w:rsidP="2F56F89A">
      <w:pPr>
        <w:rPr>
          <w:rFonts w:ascii="Arial" w:eastAsia="Arial" w:hAnsi="Arial" w:cs="Arial"/>
          <w:color w:val="000000" w:themeColor="text1"/>
        </w:rPr>
      </w:pPr>
    </w:p>
    <w:p w14:paraId="43257027" w14:textId="15F6C286" w:rsidR="5EEBD525" w:rsidRDefault="5EEBD525" w:rsidP="2F56F89A">
      <w:pPr>
        <w:rPr>
          <w:rFonts w:ascii="Roboto" w:eastAsia="Roboto" w:hAnsi="Roboto" w:cs="Roboto"/>
          <w:sz w:val="20"/>
          <w:szCs w:val="20"/>
        </w:rPr>
      </w:pPr>
      <w:r w:rsidRPr="2F56F89A">
        <w:rPr>
          <w:rFonts w:ascii="Roboto" w:eastAsia="Roboto" w:hAnsi="Roboto" w:cs="Roboto"/>
          <w:sz w:val="20"/>
          <w:szCs w:val="20"/>
          <w:lang w:val="fr-FR"/>
        </w:rPr>
        <w:t xml:space="preserve">Une grue automotrice routière </w:t>
      </w:r>
      <w:hyperlink r:id="rId12" w:history="1">
        <w:r w:rsidRPr="008650CC">
          <w:rPr>
            <w:rStyle w:val="Hyperlink"/>
            <w:rFonts w:ascii="Roboto" w:eastAsia="Roboto" w:hAnsi="Roboto" w:cs="Roboto"/>
            <w:sz w:val="20"/>
            <w:szCs w:val="20"/>
            <w:lang w:val="fr-FR"/>
          </w:rPr>
          <w:t>GMK5150L Grove</w:t>
        </w:r>
      </w:hyperlink>
      <w:r w:rsidRPr="2F56F89A">
        <w:rPr>
          <w:rFonts w:ascii="Roboto" w:eastAsia="Roboto" w:hAnsi="Roboto" w:cs="Roboto"/>
          <w:sz w:val="20"/>
          <w:szCs w:val="20"/>
          <w:lang w:val="fr-FR"/>
        </w:rPr>
        <w:t xml:space="preserve"> est indispensable pour assurer la maintenance et les réparations urgentes nécessaires sur le vaste site de la </w:t>
      </w:r>
      <w:hyperlink r:id="rId13" w:history="1">
        <w:r w:rsidRPr="008650CC">
          <w:rPr>
            <w:rStyle w:val="Hyperlink"/>
            <w:rFonts w:ascii="Roboto" w:eastAsia="Roboto" w:hAnsi="Roboto" w:cs="Roboto"/>
            <w:sz w:val="20"/>
            <w:szCs w:val="20"/>
            <w:lang w:val="fr-FR"/>
          </w:rPr>
          <w:t xml:space="preserve">mine d’or de </w:t>
        </w:r>
        <w:proofErr w:type="spellStart"/>
        <w:r w:rsidRPr="008650CC">
          <w:rPr>
            <w:rStyle w:val="Hyperlink"/>
            <w:rFonts w:ascii="Roboto" w:eastAsia="Roboto" w:hAnsi="Roboto" w:cs="Roboto"/>
            <w:sz w:val="20"/>
            <w:szCs w:val="20"/>
            <w:lang w:val="fr-FR"/>
          </w:rPr>
          <w:t>Yaour</w:t>
        </w:r>
        <w:proofErr w:type="spellEnd"/>
        <w:r w:rsidRPr="008650CC">
          <w:rPr>
            <w:rStyle w:val="Hyperlink"/>
            <w:rFonts w:ascii="Roboto" w:eastAsia="Roboto" w:hAnsi="Roboto" w:cs="Roboto"/>
            <w:sz w:val="20"/>
            <w:szCs w:val="20"/>
            <w:lang w:val="fr-FR"/>
          </w:rPr>
          <w:t>é</w:t>
        </w:r>
      </w:hyperlink>
      <w:r w:rsidRPr="2F56F89A">
        <w:rPr>
          <w:rStyle w:val="Hyperlink"/>
          <w:rFonts w:ascii="Roboto" w:eastAsia="Roboto" w:hAnsi="Roboto" w:cs="Roboto"/>
          <w:color w:val="auto"/>
          <w:sz w:val="20"/>
          <w:szCs w:val="20"/>
          <w:lang w:val="fr-FR"/>
        </w:rPr>
        <w:t>,</w:t>
      </w:r>
      <w:r w:rsidRPr="2F56F89A">
        <w:rPr>
          <w:rFonts w:ascii="Roboto" w:eastAsia="Roboto" w:hAnsi="Roboto" w:cs="Roboto"/>
          <w:sz w:val="20"/>
          <w:szCs w:val="20"/>
          <w:lang w:val="fr-FR"/>
        </w:rPr>
        <w:t xml:space="preserve"> au centre de la Côte d’Ivoire. Du fait de l’assistance technique limitée et des conditions difficiles du site, la mine a demandé </w:t>
      </w:r>
      <w:r w:rsidRPr="00A543B8">
        <w:rPr>
          <w:rFonts w:ascii="Roboto" w:eastAsia="Roboto" w:hAnsi="Roboto" w:cs="Roboto"/>
          <w:sz w:val="20"/>
          <w:szCs w:val="20"/>
          <w:lang w:val="fr-FR"/>
        </w:rPr>
        <w:t xml:space="preserve">l’aide de </w:t>
      </w:r>
      <w:hyperlink r:id="rId14" w:history="1">
        <w:r w:rsidRPr="00845DCC">
          <w:rPr>
            <w:rStyle w:val="Hyperlink"/>
            <w:rFonts w:ascii="Roboto" w:eastAsia="Roboto" w:hAnsi="Roboto" w:cs="Roboto"/>
            <w:sz w:val="20"/>
            <w:szCs w:val="20"/>
            <w:lang w:val="fr-FR"/>
          </w:rPr>
          <w:t>Paterson Simons</w:t>
        </w:r>
      </w:hyperlink>
      <w:r w:rsidRPr="00A543B8">
        <w:rPr>
          <w:rFonts w:ascii="Roboto" w:eastAsia="Roboto" w:hAnsi="Roboto" w:cs="Roboto"/>
          <w:sz w:val="20"/>
          <w:szCs w:val="20"/>
          <w:lang w:val="fr-FR"/>
        </w:rPr>
        <w:t>, distributeur Manitowoc pour l’Afrique de l’Ouest, pour développer les compétences de sa propre équipe de maintenance.</w:t>
      </w:r>
    </w:p>
    <w:p w14:paraId="63FA965A" w14:textId="24B8189B" w:rsidR="2F56F89A" w:rsidRDefault="2F56F89A" w:rsidP="2F56F89A">
      <w:pPr>
        <w:rPr>
          <w:rFonts w:ascii="Roboto" w:eastAsia="Roboto" w:hAnsi="Roboto" w:cs="Roboto"/>
          <w:sz w:val="20"/>
          <w:szCs w:val="20"/>
        </w:rPr>
      </w:pPr>
    </w:p>
    <w:p w14:paraId="2A9DFEFE" w14:textId="1765C8FB" w:rsidR="5EEBD525" w:rsidRDefault="5EEBD525" w:rsidP="2F56F89A">
      <w:pPr>
        <w:rPr>
          <w:rFonts w:ascii="Roboto" w:eastAsia="Roboto" w:hAnsi="Roboto" w:cs="Roboto"/>
          <w:sz w:val="20"/>
          <w:szCs w:val="20"/>
        </w:rPr>
      </w:pPr>
      <w:r w:rsidRPr="2F56F89A">
        <w:rPr>
          <w:rFonts w:ascii="Roboto" w:eastAsia="Roboto" w:hAnsi="Roboto" w:cs="Roboto"/>
          <w:sz w:val="20"/>
          <w:szCs w:val="20"/>
          <w:lang w:val="fr-FR"/>
        </w:rPr>
        <w:t>Paterson Simons s’est adressé à l’équipe de formation de Manitowoc de Wilhelmshaven, en Allemagne, pour trouver une solution. C’est ainsi que Mirco Minoccheri, instructeur freelance, s’est vu confier la mise en œuvre de la formation sur le site de la mine. Mirco Minoccheri, qui est ingénieur, bénéficie de près de 20 années d’expérience de travail avec des grues Manitowoc. Il a commencé sa carrière dans les grues en 2006 auprès</w:t>
      </w:r>
      <w:r w:rsidR="008650CC">
        <w:rPr>
          <w:rFonts w:ascii="Roboto" w:eastAsia="Roboto" w:hAnsi="Roboto" w:cs="Roboto"/>
          <w:sz w:val="20"/>
          <w:szCs w:val="20"/>
          <w:lang w:val="fr-FR"/>
        </w:rPr>
        <w:t xml:space="preserve"> </w:t>
      </w:r>
      <w:r w:rsidR="008650CC" w:rsidRPr="008650CC">
        <w:rPr>
          <w:rFonts w:ascii="Roboto" w:eastAsia="Roboto" w:hAnsi="Roboto" w:cs="Roboto"/>
          <w:sz w:val="20"/>
          <w:szCs w:val="20"/>
          <w:lang w:val="fr-FR"/>
        </w:rPr>
        <w:t>d’</w:t>
      </w:r>
      <w:hyperlink r:id="rId15" w:history="1">
        <w:r w:rsidR="008650CC" w:rsidRPr="008650CC">
          <w:rPr>
            <w:rStyle w:val="Hyperlink"/>
            <w:rFonts w:ascii="Roboto" w:eastAsia="Roboto" w:hAnsi="Roboto" w:cs="Roboto"/>
            <w:sz w:val="20"/>
            <w:szCs w:val="20"/>
            <w:lang w:val="fr-FR"/>
          </w:rPr>
          <w:t>Imola Gru</w:t>
        </w:r>
      </w:hyperlink>
      <w:r w:rsidRPr="2F56F89A">
        <w:rPr>
          <w:rFonts w:ascii="Roboto" w:eastAsia="Roboto" w:hAnsi="Roboto" w:cs="Roboto"/>
          <w:sz w:val="20"/>
          <w:szCs w:val="20"/>
          <w:lang w:val="fr-FR"/>
        </w:rPr>
        <w:t>, le concessionnaire italien de Manitowoc. Puis, en 2012, il s’est installé au Ghana afin de rejoindre Paterson Simons. En 2017, il est revenu en Italie pour proposer des formations en indépendant, en fonction des besoins, pour le compte de Manitowoc.</w:t>
      </w:r>
    </w:p>
    <w:p w14:paraId="6451D929" w14:textId="459DAD3A" w:rsidR="2F56F89A" w:rsidRDefault="2F56F89A" w:rsidP="2F56F89A">
      <w:pPr>
        <w:rPr>
          <w:rFonts w:ascii="Roboto" w:eastAsia="Roboto" w:hAnsi="Roboto" w:cs="Roboto"/>
          <w:sz w:val="20"/>
          <w:szCs w:val="20"/>
        </w:rPr>
      </w:pPr>
    </w:p>
    <w:p w14:paraId="606E20C7" w14:textId="18564AC8" w:rsidR="5EEBD525" w:rsidRDefault="5EEBD525" w:rsidP="2F56F89A">
      <w:pPr>
        <w:rPr>
          <w:rFonts w:ascii="Roboto" w:eastAsia="Roboto" w:hAnsi="Roboto" w:cs="Roboto"/>
          <w:sz w:val="20"/>
          <w:szCs w:val="20"/>
        </w:rPr>
      </w:pPr>
      <w:r w:rsidRPr="2F56F89A">
        <w:rPr>
          <w:rFonts w:ascii="Roboto" w:eastAsia="Roboto" w:hAnsi="Roboto" w:cs="Roboto"/>
          <w:sz w:val="20"/>
          <w:szCs w:val="20"/>
          <w:lang w:val="fr-FR"/>
        </w:rPr>
        <w:t>Durant les deux semaines qu’il a passées sur le site de la mine d’or de Yaouré, Mirco Minoccheri a développé les compétences techniques de l’équipe de l’exploitation et a dispensé des cours sur des sujets critiques pour les grues, et, notamment, les pannes du système de freinage ou encore les défaillances intermittentes des éléments télescopiques.</w:t>
      </w:r>
    </w:p>
    <w:p w14:paraId="236D7DE5" w14:textId="6BB01782" w:rsidR="2F56F89A" w:rsidRDefault="2F56F89A" w:rsidP="2F56F89A">
      <w:pPr>
        <w:rPr>
          <w:rFonts w:ascii="Roboto" w:eastAsia="Roboto" w:hAnsi="Roboto" w:cs="Roboto"/>
          <w:sz w:val="20"/>
          <w:szCs w:val="20"/>
        </w:rPr>
      </w:pPr>
    </w:p>
    <w:p w14:paraId="17CC4C2A" w14:textId="5661BDE9" w:rsidR="5EEBD525" w:rsidRDefault="638381E3" w:rsidP="2F56F89A">
      <w:pPr>
        <w:rPr>
          <w:rFonts w:ascii="Roboto" w:eastAsia="Roboto" w:hAnsi="Roboto" w:cs="Roboto"/>
          <w:sz w:val="20"/>
          <w:szCs w:val="20"/>
        </w:rPr>
      </w:pPr>
      <w:r w:rsidRPr="638381E3">
        <w:rPr>
          <w:rFonts w:ascii="Roboto" w:eastAsia="Roboto" w:hAnsi="Roboto" w:cs="Roboto"/>
          <w:sz w:val="20"/>
          <w:szCs w:val="20"/>
          <w:lang w:val="fr-FR"/>
        </w:rPr>
        <w:t>Le programme de formation de Mirco Minoccheri a été centré sur les systèmes pneumatique</w:t>
      </w:r>
      <w:r w:rsidRPr="638381E3">
        <w:rPr>
          <w:rFonts w:ascii="Roboto" w:eastAsia="Roboto" w:hAnsi="Roboto" w:cs="Roboto"/>
          <w:color w:val="FF0000"/>
          <w:sz w:val="20"/>
          <w:szCs w:val="20"/>
          <w:lang w:val="fr-FR"/>
        </w:rPr>
        <w:t>,</w:t>
      </w:r>
      <w:r w:rsidRPr="638381E3">
        <w:rPr>
          <w:rFonts w:ascii="Roboto" w:eastAsia="Roboto" w:hAnsi="Roboto" w:cs="Roboto"/>
          <w:sz w:val="20"/>
          <w:szCs w:val="20"/>
          <w:lang w:val="fr-FR"/>
        </w:rPr>
        <w:t xml:space="preserve"> hydraulique et électrique de la GMK5150L, pour une compréhension globale du fonctionnement de la grue. Cette approche a permis aux neuf membres de l’équipe de maintenance de prendre confiance en eux-mêmes, les incitant à ne pas se fier aux seuls codes d’erreur et à diagnostiquer et résoudre les problèmes de manière plus intuitive. Des exercices pratiques ont été mis en œuvre, et notamment la résolution de problèmes sur site comme des défaillances du système télescopique et des avertissements du système de freinage en lien avec l’humidité.</w:t>
      </w:r>
    </w:p>
    <w:p w14:paraId="3D3202E3" w14:textId="1C6FA7C2" w:rsidR="2F56F89A" w:rsidRDefault="2F56F89A" w:rsidP="2F56F89A">
      <w:pPr>
        <w:rPr>
          <w:rFonts w:ascii="Roboto" w:eastAsia="Roboto" w:hAnsi="Roboto" w:cs="Roboto"/>
          <w:sz w:val="20"/>
          <w:szCs w:val="20"/>
        </w:rPr>
      </w:pPr>
    </w:p>
    <w:p w14:paraId="7404587F" w14:textId="6C3BC6C7" w:rsidR="5EEBD525" w:rsidRDefault="5EEBD525" w:rsidP="2F56F89A">
      <w:pPr>
        <w:rPr>
          <w:rFonts w:ascii="Roboto" w:eastAsia="Roboto" w:hAnsi="Roboto" w:cs="Roboto"/>
          <w:sz w:val="20"/>
          <w:szCs w:val="20"/>
        </w:rPr>
      </w:pPr>
      <w:r w:rsidRPr="2DFA1910">
        <w:rPr>
          <w:rFonts w:ascii="Roboto" w:eastAsia="Roboto" w:hAnsi="Roboto" w:cs="Roboto"/>
          <w:sz w:val="20"/>
          <w:szCs w:val="20"/>
          <w:lang w:val="fr-FR"/>
        </w:rPr>
        <w:t xml:space="preserve">« Cette grue est indispensable pour la mine, en particulier durant les arrêts de l’exploitation, car elle permet à l’équipe de réaliser des réparations sur toutes les installations. Chaque période d’arrêt peut affecter la production, et c’est pourquoi il est essentiel de réduire ces interruptions » a déclaré Mirco Minoccheri. « Étant donné la localisation de la mine, le personnel doit relever des défis particuliers liés à </w:t>
      </w:r>
      <w:r w:rsidRPr="2DFA1910">
        <w:rPr>
          <w:rFonts w:ascii="Roboto" w:eastAsia="Roboto" w:hAnsi="Roboto" w:cs="Roboto"/>
          <w:sz w:val="20"/>
          <w:szCs w:val="20"/>
          <w:lang w:val="fr-FR"/>
        </w:rPr>
        <w:lastRenderedPageBreak/>
        <w:t>l’environnement local, comme les températures élevées et la poussière, qui peuvent ajouter des contraintes sur les matériels lourds, de sorte qu’une maintenance efficace est cruciale ».</w:t>
      </w:r>
      <w:r w:rsidR="002D08FB">
        <w:rPr>
          <w:rFonts w:ascii="Roboto" w:eastAsia="Roboto" w:hAnsi="Roboto" w:cs="Roboto"/>
          <w:sz w:val="20"/>
          <w:szCs w:val="20"/>
        </w:rPr>
        <w:t xml:space="preserve"> </w:t>
      </w:r>
      <w:r w:rsidRPr="2DFA1910">
        <w:rPr>
          <w:rFonts w:ascii="Roboto" w:eastAsia="Roboto" w:hAnsi="Roboto" w:cs="Roboto"/>
          <w:sz w:val="20"/>
          <w:szCs w:val="20"/>
          <w:lang w:val="fr-FR"/>
        </w:rPr>
        <w:t>Le programme de formation a amélioré les compétences des techniciens en matière d’analyse des défauts de fonctionnement et de dépannage. Il a aussi développé leur capacité à travailler en équipe et à résoudre des problèmes. En favorisant la confiance en soi, cette formation garantit une exploitation de la mine moins dépendante d’une assistance externe, ce qui en limite à l’avenir les éventuels arrêts.</w:t>
      </w:r>
    </w:p>
    <w:p w14:paraId="515CD054" w14:textId="2BCD5F02" w:rsidR="2F56F89A" w:rsidRDefault="2F56F89A" w:rsidP="2F56F89A">
      <w:pPr>
        <w:rPr>
          <w:rFonts w:ascii="Roboto" w:eastAsia="Roboto" w:hAnsi="Roboto" w:cs="Roboto"/>
          <w:sz w:val="20"/>
          <w:szCs w:val="20"/>
        </w:rPr>
      </w:pPr>
    </w:p>
    <w:p w14:paraId="75190740" w14:textId="0D81B10C" w:rsidR="5EEBD525" w:rsidRDefault="5EEBD525" w:rsidP="2F56F89A">
      <w:pPr>
        <w:rPr>
          <w:rFonts w:ascii="Roboto" w:eastAsia="Roboto" w:hAnsi="Roboto" w:cs="Roboto"/>
          <w:sz w:val="20"/>
          <w:szCs w:val="20"/>
        </w:rPr>
      </w:pPr>
      <w:r w:rsidRPr="2F56F89A">
        <w:rPr>
          <w:rFonts w:ascii="Roboto" w:eastAsia="Roboto" w:hAnsi="Roboto" w:cs="Roboto"/>
          <w:sz w:val="20"/>
          <w:szCs w:val="20"/>
          <w:lang w:val="fr-FR"/>
        </w:rPr>
        <w:t>« Cette approche concrète a permis un apprentissage pratique avec des scénarios authentiques », a expliqué Mirco Minoccheri. « Elle est le résultat d’un effort collaboratif, et je suis enchanté des progrès que l’équipe a accomplis ».</w:t>
      </w:r>
    </w:p>
    <w:p w14:paraId="628BE5AB" w14:textId="4CAB2674" w:rsidR="2F56F89A" w:rsidRDefault="2F56F89A" w:rsidP="2F56F89A">
      <w:pPr>
        <w:rPr>
          <w:rFonts w:ascii="Roboto" w:eastAsia="Roboto" w:hAnsi="Roboto" w:cs="Roboto"/>
          <w:sz w:val="20"/>
          <w:szCs w:val="20"/>
        </w:rPr>
      </w:pPr>
    </w:p>
    <w:p w14:paraId="0BC49898" w14:textId="6A75E89F" w:rsidR="2F56F89A" w:rsidRDefault="5EEBD525" w:rsidP="18073D84">
      <w:pPr>
        <w:spacing w:line="276" w:lineRule="auto"/>
        <w:rPr>
          <w:rFonts w:ascii="Roboto" w:eastAsia="Roboto" w:hAnsi="Roboto" w:cs="Roboto"/>
          <w:sz w:val="20"/>
          <w:szCs w:val="20"/>
          <w:lang w:eastAsia="de-DE"/>
        </w:rPr>
      </w:pPr>
      <w:r w:rsidRPr="18073D84">
        <w:rPr>
          <w:rFonts w:ascii="Roboto" w:eastAsia="Roboto" w:hAnsi="Roboto" w:cs="Roboto"/>
          <w:sz w:val="20"/>
          <w:szCs w:val="20"/>
          <w:lang w:val="fr-FR"/>
        </w:rPr>
        <w:t>Avec une compréhension approfondie des systèmes de la grue, l’équipe de maintenance de la mine d’or de Yaouré est désormais mieux à même de maintenir la fluidité de l’exploitation, afin que la mine continue de prospérer.</w:t>
      </w:r>
    </w:p>
    <w:p w14:paraId="34B1C892" w14:textId="77777777" w:rsidR="00FF12FC" w:rsidRPr="002A1B09" w:rsidRDefault="00FF12FC" w:rsidP="4A884494">
      <w:pPr>
        <w:spacing w:line="276" w:lineRule="auto"/>
        <w:rPr>
          <w:rFonts w:ascii="Roboto" w:hAnsi="Roboto"/>
          <w:sz w:val="20"/>
          <w:szCs w:val="20"/>
        </w:rPr>
      </w:pPr>
    </w:p>
    <w:p w14:paraId="6EEAE491" w14:textId="3117A1F1" w:rsidR="00A57F06" w:rsidRDefault="00A678F4" w:rsidP="00A57F06">
      <w:pPr>
        <w:spacing w:line="276" w:lineRule="auto"/>
        <w:jc w:val="center"/>
        <w:rPr>
          <w:rFonts w:ascii="Roboto" w:hAnsi="Roboto" w:cs="Georgia"/>
          <w:sz w:val="20"/>
          <w:szCs w:val="20"/>
        </w:rPr>
      </w:pPr>
      <w:r w:rsidRPr="5ED1F144">
        <w:rPr>
          <w:rFonts w:ascii="Roboto" w:hAnsi="Roboto" w:cs="Georgia"/>
          <w:sz w:val="20"/>
          <w:szCs w:val="20"/>
        </w:rPr>
        <w:t>-</w:t>
      </w:r>
      <w:r w:rsidR="3E00E45D" w:rsidRPr="5ED1F144">
        <w:rPr>
          <w:rFonts w:ascii="Roboto" w:hAnsi="Roboto" w:cs="Georgia"/>
          <w:sz w:val="20"/>
          <w:szCs w:val="20"/>
        </w:rPr>
        <w:t>FIN</w:t>
      </w:r>
      <w:r w:rsidRPr="5ED1F144">
        <w:rPr>
          <w:rFonts w:ascii="Roboto" w:hAnsi="Roboto" w:cs="Georgia"/>
          <w:sz w:val="20"/>
          <w:szCs w:val="20"/>
        </w:rPr>
        <w:t>-</w:t>
      </w:r>
    </w:p>
    <w:p w14:paraId="15D69082" w14:textId="77777777" w:rsidR="00795D9D" w:rsidRDefault="00795D9D" w:rsidP="00A57F06">
      <w:pPr>
        <w:spacing w:line="276" w:lineRule="auto"/>
        <w:jc w:val="center"/>
        <w:rPr>
          <w:rFonts w:ascii="Roboto" w:hAnsi="Roboto" w:cs="Georgia"/>
          <w:sz w:val="20"/>
          <w:szCs w:val="20"/>
        </w:rPr>
      </w:pPr>
    </w:p>
    <w:p w14:paraId="5330930A" w14:textId="77777777" w:rsidR="00795D9D" w:rsidRDefault="00795D9D" w:rsidP="00795D9D">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ED1C2A"/>
          <w:sz w:val="18"/>
          <w:szCs w:val="18"/>
        </w:rPr>
        <w:t>CONTACT</w:t>
      </w:r>
      <w:r>
        <w:rPr>
          <w:rStyle w:val="eop"/>
          <w:rFonts w:ascii="Roboto" w:hAnsi="Roboto" w:cs="Segoe UI"/>
          <w:color w:val="ED1C2A"/>
          <w:sz w:val="18"/>
          <w:szCs w:val="18"/>
        </w:rPr>
        <w:t> </w:t>
      </w:r>
    </w:p>
    <w:p w14:paraId="0985BF5A" w14:textId="77777777" w:rsidR="00795D9D" w:rsidRDefault="00795D9D" w:rsidP="00795D9D">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color w:val="41525C"/>
          <w:sz w:val="18"/>
          <w:szCs w:val="18"/>
        </w:rPr>
        <w:t>Anna Theilen</w:t>
      </w:r>
      <w:r>
        <w:rPr>
          <w:rStyle w:val="tabchar"/>
          <w:rFonts w:ascii="Calibri" w:hAnsi="Calibri" w:cs="Calibri"/>
          <w:color w:val="41525C"/>
          <w:sz w:val="18"/>
          <w:szCs w:val="18"/>
        </w:rPr>
        <w:tab/>
      </w:r>
      <w:r>
        <w:rPr>
          <w:rStyle w:val="eop"/>
          <w:rFonts w:ascii="Roboto" w:hAnsi="Roboto" w:cs="Segoe UI"/>
          <w:color w:val="41525C"/>
          <w:sz w:val="18"/>
          <w:szCs w:val="18"/>
        </w:rPr>
        <w:t> </w:t>
      </w:r>
    </w:p>
    <w:p w14:paraId="6B0A9591" w14:textId="77777777" w:rsidR="00795D9D" w:rsidRDefault="00795D9D" w:rsidP="00795D9D">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41525C"/>
          <w:sz w:val="18"/>
          <w:szCs w:val="18"/>
        </w:rPr>
        <w:t>Marketing Communication Specialist</w:t>
      </w:r>
      <w:r>
        <w:rPr>
          <w:rStyle w:val="eop"/>
          <w:rFonts w:ascii="Roboto" w:hAnsi="Roboto" w:cs="Segoe UI"/>
          <w:color w:val="41525C"/>
          <w:sz w:val="18"/>
          <w:szCs w:val="18"/>
        </w:rPr>
        <w:t> </w:t>
      </w:r>
    </w:p>
    <w:p w14:paraId="1018CC85" w14:textId="77777777" w:rsidR="00795D9D" w:rsidRDefault="00795D9D" w:rsidP="00795D9D">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41525C"/>
          <w:sz w:val="18"/>
          <w:szCs w:val="18"/>
        </w:rPr>
        <w:t>Manitowoc</w:t>
      </w:r>
      <w:r>
        <w:rPr>
          <w:rStyle w:val="tabchar"/>
          <w:rFonts w:ascii="Calibri" w:hAnsi="Calibri" w:cs="Calibri"/>
          <w:color w:val="41525C"/>
          <w:sz w:val="18"/>
          <w:szCs w:val="18"/>
        </w:rPr>
        <w:tab/>
      </w:r>
      <w:r>
        <w:rPr>
          <w:rStyle w:val="eop"/>
          <w:rFonts w:ascii="Roboto" w:hAnsi="Roboto" w:cs="Segoe UI"/>
          <w:color w:val="41525C"/>
          <w:sz w:val="18"/>
          <w:szCs w:val="18"/>
        </w:rPr>
        <w:t> </w:t>
      </w:r>
    </w:p>
    <w:p w14:paraId="226AD2ED" w14:textId="77777777" w:rsidR="00795D9D" w:rsidRDefault="00795D9D" w:rsidP="00795D9D">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41525C"/>
          <w:sz w:val="18"/>
          <w:szCs w:val="18"/>
          <w:lang w:val="en-GB"/>
        </w:rPr>
        <w:t>T +49 4421 294 4632</w:t>
      </w:r>
      <w:r>
        <w:rPr>
          <w:rStyle w:val="eop"/>
          <w:rFonts w:ascii="Roboto" w:hAnsi="Roboto" w:cs="Segoe UI"/>
          <w:color w:val="41525C"/>
          <w:sz w:val="18"/>
          <w:szCs w:val="18"/>
        </w:rPr>
        <w:t> </w:t>
      </w:r>
    </w:p>
    <w:p w14:paraId="772A81F2" w14:textId="77777777" w:rsidR="00795D9D" w:rsidRDefault="00795D9D" w:rsidP="00795D9D">
      <w:pPr>
        <w:pStyle w:val="paragraph"/>
        <w:spacing w:before="0" w:beforeAutospacing="0" w:after="0" w:afterAutospacing="0"/>
        <w:textAlignment w:val="baseline"/>
        <w:rPr>
          <w:rFonts w:ascii="Segoe UI" w:hAnsi="Segoe UI" w:cs="Segoe UI"/>
          <w:sz w:val="18"/>
          <w:szCs w:val="18"/>
        </w:rPr>
      </w:pPr>
      <w:hyperlink r:id="rId16" w:tgtFrame="_blank" w:history="1">
        <w:r>
          <w:rPr>
            <w:rStyle w:val="normaltextrun"/>
            <w:rFonts w:ascii="Roboto" w:hAnsi="Roboto" w:cs="Segoe UI"/>
            <w:color w:val="0000FF"/>
            <w:sz w:val="18"/>
            <w:szCs w:val="18"/>
            <w:u w:val="single"/>
            <w:lang w:val="en-GB"/>
          </w:rPr>
          <w:t>Anna.theilen@manitowoc.com</w:t>
        </w:r>
      </w:hyperlink>
      <w:r>
        <w:rPr>
          <w:rStyle w:val="eop"/>
          <w:rFonts w:ascii="Roboto" w:hAnsi="Roboto" w:cs="Segoe UI"/>
          <w:color w:val="000000"/>
          <w:sz w:val="18"/>
          <w:szCs w:val="18"/>
        </w:rPr>
        <w:t> </w:t>
      </w:r>
    </w:p>
    <w:p w14:paraId="0BC1A620" w14:textId="5CD174D0" w:rsidR="00795D9D" w:rsidRPr="00795D9D" w:rsidRDefault="00795D9D" w:rsidP="00795D9D">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ED1C2A"/>
          <w:sz w:val="18"/>
          <w:szCs w:val="18"/>
        </w:rPr>
        <w:t> </w:t>
      </w:r>
    </w:p>
    <w:p w14:paraId="1F6E4BDB" w14:textId="3B40AB7E"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23CE74C3" w14:textId="37510617" w:rsidR="737FF279" w:rsidRDefault="04B7C7BF" w:rsidP="18073D84">
      <w:pPr>
        <w:spacing w:line="240" w:lineRule="exact"/>
        <w:rPr>
          <w:rFonts w:ascii="Verdana" w:eastAsia="Verdana" w:hAnsi="Verdana" w:cs="Verdana"/>
          <w:color w:val="000000" w:themeColor="text1"/>
          <w:sz w:val="18"/>
          <w:szCs w:val="18"/>
        </w:rPr>
      </w:pPr>
      <w:r w:rsidRPr="18073D84">
        <w:rPr>
          <w:rFonts w:ascii="Roboto" w:eastAsia="Verdana" w:hAnsi="Roboto" w:cs="Verdana"/>
          <w:color w:val="ED1C2A"/>
          <w:sz w:val="18"/>
          <w:szCs w:val="18"/>
          <w:lang w:val="en-GB"/>
        </w:rPr>
        <w:t xml:space="preserve"> </w:t>
      </w:r>
      <w:r w:rsidR="737FF279" w:rsidRPr="18073D84">
        <w:rPr>
          <w:rFonts w:ascii="Verdana" w:eastAsia="Verdana" w:hAnsi="Verdana" w:cs="Verdana"/>
          <w:color w:val="ED1C2A"/>
          <w:sz w:val="18"/>
          <w:szCs w:val="18"/>
        </w:rPr>
        <w:t>À PROPOS DE MANITOWOC COMPANY, INC.</w:t>
      </w:r>
      <w:r w:rsidR="737FF279" w:rsidRPr="18073D84">
        <w:rPr>
          <w:rFonts w:ascii="Verdana" w:eastAsia="Verdana" w:hAnsi="Verdana" w:cs="Verdana"/>
          <w:color w:val="000000" w:themeColor="text1"/>
          <w:sz w:val="18"/>
          <w:szCs w:val="18"/>
        </w:rPr>
        <w:t> </w:t>
      </w:r>
    </w:p>
    <w:p w14:paraId="093C652F" w14:textId="3DA803CA" w:rsidR="737FF279" w:rsidRDefault="737FF279" w:rsidP="7483229D">
      <w:pPr>
        <w:rPr>
          <w:rFonts w:ascii="Verdana" w:eastAsia="Verdana" w:hAnsi="Verdana" w:cs="Verdana"/>
          <w:color w:val="000000" w:themeColor="text1"/>
          <w:sz w:val="18"/>
          <w:szCs w:val="18"/>
        </w:rPr>
      </w:pPr>
      <w:r w:rsidRPr="7483229D">
        <w:rPr>
          <w:rFonts w:ascii="Verdana" w:eastAsia="Verdana" w:hAnsi="Verdana" w:cs="Verdana"/>
          <w:color w:val="000000" w:themeColor="text1"/>
          <w:sz w:val="18"/>
          <w:szCs w:val="18"/>
          <w:lang w:val="fr-FR"/>
        </w:rPr>
        <w:t>The Manitowoc Company, Inc. a été fondée en 1902. Depuis plus de 120 ans, elle fournit à ses marchés des produits et un service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hydraulique, des grues treillis sur chenilles, des camions-grues et des grues à tour sous les marques Aspen Equipment, Grove, Manitowoc, MGX Equipment Services, National Crane, Potain, et Shuttlelift.</w:t>
      </w:r>
    </w:p>
    <w:p w14:paraId="470145CD" w14:textId="74C9A093" w:rsidR="7483229D" w:rsidRDefault="7483229D" w:rsidP="7483229D">
      <w:pPr>
        <w:spacing w:line="276" w:lineRule="auto"/>
        <w:rPr>
          <w:color w:val="000000" w:themeColor="text1"/>
        </w:rPr>
      </w:pPr>
    </w:p>
    <w:p w14:paraId="71C43331" w14:textId="17881FF8" w:rsidR="737FF279" w:rsidRDefault="737FF279" w:rsidP="18073D84">
      <w:pPr>
        <w:spacing w:line="276" w:lineRule="auto"/>
        <w:rPr>
          <w:rFonts w:ascii="Verdana" w:eastAsia="Verdana" w:hAnsi="Verdana" w:cs="Verdana"/>
          <w:color w:val="ED1C2A"/>
          <w:sz w:val="18"/>
          <w:szCs w:val="18"/>
        </w:rPr>
      </w:pPr>
      <w:r w:rsidRPr="18073D84">
        <w:rPr>
          <w:rFonts w:ascii="Verdana" w:eastAsia="Verdana" w:hAnsi="Verdana" w:cs="Verdana"/>
          <w:color w:val="ED1C2A"/>
          <w:sz w:val="18"/>
          <w:szCs w:val="18"/>
        </w:rPr>
        <w:t>THE MANITOWOC COMPANY, INC.</w:t>
      </w:r>
    </w:p>
    <w:p w14:paraId="27227C10" w14:textId="49B24D86" w:rsidR="737FF279" w:rsidRDefault="737FF279" w:rsidP="7483229D">
      <w:pPr>
        <w:spacing w:line="276" w:lineRule="auto"/>
        <w:rPr>
          <w:rFonts w:ascii="Verdana" w:eastAsia="Verdana" w:hAnsi="Verdana" w:cs="Verdana"/>
          <w:color w:val="595959" w:themeColor="text1" w:themeTint="A6"/>
          <w:sz w:val="18"/>
          <w:szCs w:val="18"/>
        </w:rPr>
      </w:pPr>
      <w:r w:rsidRPr="7483229D">
        <w:rPr>
          <w:rFonts w:ascii="Verdana" w:eastAsia="Verdana" w:hAnsi="Verdana" w:cs="Verdana"/>
          <w:color w:val="595959" w:themeColor="text1" w:themeTint="A6"/>
          <w:sz w:val="18"/>
          <w:szCs w:val="18"/>
        </w:rPr>
        <w:t>One Park Plaza – 11270 West Park Place – Suite 1000 – Milwaukee, WI 53224, USA</w:t>
      </w:r>
    </w:p>
    <w:p w14:paraId="67EEBD53" w14:textId="7CF775B7" w:rsidR="737FF279" w:rsidRDefault="737FF279" w:rsidP="7483229D">
      <w:pPr>
        <w:spacing w:line="276" w:lineRule="auto"/>
        <w:rPr>
          <w:rFonts w:ascii="Verdana" w:eastAsia="Verdana" w:hAnsi="Verdana" w:cs="Verdana"/>
          <w:color w:val="595959" w:themeColor="text1" w:themeTint="A6"/>
          <w:sz w:val="18"/>
          <w:szCs w:val="18"/>
        </w:rPr>
      </w:pPr>
      <w:r w:rsidRPr="7483229D">
        <w:rPr>
          <w:rFonts w:ascii="Verdana" w:eastAsia="Verdana" w:hAnsi="Verdana" w:cs="Verdana"/>
          <w:color w:val="595959" w:themeColor="text1" w:themeTint="A6"/>
          <w:sz w:val="18"/>
          <w:szCs w:val="18"/>
        </w:rPr>
        <w:t>T +1 414 760 4600</w:t>
      </w:r>
    </w:p>
    <w:p w14:paraId="1D08B009" w14:textId="2BC16612" w:rsidR="737FF279" w:rsidRDefault="737FF279" w:rsidP="7483229D">
      <w:pPr>
        <w:spacing w:line="276" w:lineRule="auto"/>
        <w:rPr>
          <w:rFonts w:ascii="Verdana" w:eastAsia="Verdana" w:hAnsi="Verdana" w:cs="Verdana"/>
          <w:color w:val="595959" w:themeColor="text1" w:themeTint="A6"/>
          <w:sz w:val="18"/>
          <w:szCs w:val="18"/>
        </w:rPr>
      </w:pPr>
      <w:hyperlink r:id="rId17">
        <w:r w:rsidRPr="7483229D">
          <w:rPr>
            <w:rStyle w:val="Hyperlink"/>
            <w:rFonts w:ascii="Verdana" w:eastAsia="Verdana" w:hAnsi="Verdana" w:cs="Verdana"/>
            <w:b/>
            <w:bCs/>
            <w:sz w:val="18"/>
            <w:szCs w:val="18"/>
          </w:rPr>
          <w:t>www.manitowoc.com</w:t>
        </w:r>
      </w:hyperlink>
    </w:p>
    <w:p w14:paraId="4A979DE3" w14:textId="6CB0130E" w:rsidR="7483229D" w:rsidRDefault="7483229D" w:rsidP="7483229D">
      <w:pPr>
        <w:widowControl w:val="0"/>
        <w:rPr>
          <w:rFonts w:ascii="Roboto" w:hAnsi="Roboto"/>
          <w:b/>
          <w:bCs/>
          <w:color w:val="41525C"/>
          <w:sz w:val="18"/>
          <w:szCs w:val="18"/>
        </w:rPr>
      </w:pPr>
    </w:p>
    <w:sectPr w:rsidR="7483229D" w:rsidSect="001A77AA">
      <w:headerReference w:type="even" r:id="rId18"/>
      <w:headerReference w:type="default" r:id="rId19"/>
      <w:footerReference w:type="even" r:id="rId20"/>
      <w:footerReference w:type="default" r:id="rId21"/>
      <w:headerReference w:type="first" r:id="rId22"/>
      <w:footerReference w:type="first" r:id="rId2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0A0F" w14:textId="77777777" w:rsidR="00F11416" w:rsidRDefault="00F11416">
      <w:r>
        <w:separator/>
      </w:r>
    </w:p>
  </w:endnote>
  <w:endnote w:type="continuationSeparator" w:id="0">
    <w:p w14:paraId="6D6A4979" w14:textId="77777777" w:rsidR="00F11416" w:rsidRDefault="00F11416">
      <w:r>
        <w:continuationSeparator/>
      </w:r>
    </w:p>
  </w:endnote>
  <w:endnote w:type="continuationNotice" w:id="1">
    <w:p w14:paraId="68A1C5DA" w14:textId="77777777" w:rsidR="00F11416" w:rsidRDefault="00F11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25A1" w14:textId="77777777" w:rsidR="001307D5" w:rsidRDefault="00130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FBCE" w14:textId="77777777" w:rsidR="00F11416" w:rsidRDefault="00F11416">
      <w:r>
        <w:separator/>
      </w:r>
    </w:p>
  </w:footnote>
  <w:footnote w:type="continuationSeparator" w:id="0">
    <w:p w14:paraId="07C0A994" w14:textId="77777777" w:rsidR="00F11416" w:rsidRDefault="00F11416">
      <w:r>
        <w:continuationSeparator/>
      </w:r>
    </w:p>
  </w:footnote>
  <w:footnote w:type="continuationNotice" w:id="1">
    <w:p w14:paraId="10CF4C11" w14:textId="77777777" w:rsidR="00F11416" w:rsidRDefault="00F11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D42" w14:textId="77777777" w:rsidR="001307D5" w:rsidRDefault="00130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925"/>
      <w:gridCol w:w="3135"/>
      <w:gridCol w:w="345"/>
    </w:tblGrid>
    <w:tr w:rsidR="5B85A38C" w14:paraId="75B0316A" w14:textId="77777777" w:rsidTr="5B85A38C">
      <w:trPr>
        <w:trHeight w:val="300"/>
      </w:trPr>
      <w:tc>
        <w:tcPr>
          <w:tcW w:w="5925" w:type="dxa"/>
        </w:tcPr>
        <w:p w14:paraId="69590824" w14:textId="2450C76F" w:rsidR="5B85A38C" w:rsidRDefault="5B85A38C" w:rsidP="5B85A38C">
          <w:pPr>
            <w:tabs>
              <w:tab w:val="left" w:pos="6096"/>
            </w:tabs>
            <w:spacing w:line="276" w:lineRule="auto"/>
            <w:rPr>
              <w:rFonts w:ascii="Verdana" w:eastAsia="Verdana" w:hAnsi="Verdana" w:cs="Verdana"/>
              <w:color w:val="000000" w:themeColor="text1"/>
              <w:sz w:val="16"/>
              <w:szCs w:val="16"/>
            </w:rPr>
          </w:pPr>
          <w:r w:rsidRPr="5B85A38C">
            <w:rPr>
              <w:rFonts w:ascii="Verdana" w:eastAsia="Verdana" w:hAnsi="Verdana" w:cs="Verdana"/>
              <w:color w:val="000000" w:themeColor="text1"/>
              <w:sz w:val="16"/>
              <w:szCs w:val="16"/>
              <w:lang w:val="fr-FR"/>
            </w:rPr>
            <w:t>Amèliorer les compètences dans la mine d’or de Yaourè</w:t>
          </w:r>
        </w:p>
        <w:p w14:paraId="520A0102" w14:textId="321972D9" w:rsidR="5B85A38C" w:rsidRDefault="001307D5" w:rsidP="5B85A38C">
          <w:pPr>
            <w:tabs>
              <w:tab w:val="left" w:pos="6096"/>
            </w:tabs>
            <w:spacing w:line="276" w:lineRule="auto"/>
            <w:rPr>
              <w:rFonts w:ascii="Verdana" w:eastAsia="Verdana" w:hAnsi="Verdana" w:cs="Verdana"/>
              <w:color w:val="000000" w:themeColor="text1"/>
              <w:sz w:val="16"/>
              <w:szCs w:val="16"/>
            </w:rPr>
          </w:pPr>
          <w:r w:rsidRPr="001307D5">
            <w:rPr>
              <w:rFonts w:ascii="Verdana" w:eastAsia="Verdana" w:hAnsi="Verdana" w:cs="Verdana"/>
              <w:color w:val="000000" w:themeColor="text1"/>
              <w:sz w:val="16"/>
              <w:szCs w:val="16"/>
            </w:rPr>
            <w:t>9</w:t>
          </w:r>
          <w:r w:rsidR="5B85A38C" w:rsidRPr="001307D5">
            <w:rPr>
              <w:rFonts w:ascii="Verdana" w:eastAsia="Verdana" w:hAnsi="Verdana" w:cs="Verdana"/>
              <w:color w:val="000000" w:themeColor="text1"/>
              <w:sz w:val="16"/>
              <w:szCs w:val="16"/>
            </w:rPr>
            <w:t xml:space="preserve"> </w:t>
          </w:r>
          <w:proofErr w:type="spellStart"/>
          <w:r w:rsidRPr="001307D5">
            <w:rPr>
              <w:rFonts w:ascii="Verdana" w:eastAsia="Verdana" w:hAnsi="Verdana" w:cs="Verdana"/>
              <w:color w:val="000000" w:themeColor="text1"/>
              <w:sz w:val="16"/>
              <w:szCs w:val="16"/>
            </w:rPr>
            <w:t>juin</w:t>
          </w:r>
          <w:proofErr w:type="spellEnd"/>
          <w:r w:rsidRPr="001307D5">
            <w:rPr>
              <w:rFonts w:ascii="Verdana" w:eastAsia="Verdana" w:hAnsi="Verdana" w:cs="Verdana"/>
              <w:color w:val="000000" w:themeColor="text1"/>
              <w:sz w:val="16"/>
              <w:szCs w:val="16"/>
            </w:rPr>
            <w:t xml:space="preserve"> </w:t>
          </w:r>
          <w:r w:rsidR="5B85A38C" w:rsidRPr="001307D5">
            <w:rPr>
              <w:rFonts w:ascii="Verdana" w:eastAsia="Verdana" w:hAnsi="Verdana" w:cs="Verdana"/>
              <w:color w:val="000000" w:themeColor="text1"/>
              <w:sz w:val="16"/>
              <w:szCs w:val="16"/>
            </w:rPr>
            <w:t>2025</w:t>
          </w:r>
        </w:p>
        <w:p w14:paraId="67E913B8" w14:textId="7F9ACF34" w:rsidR="5B85A38C" w:rsidRDefault="5B85A38C" w:rsidP="5B85A38C">
          <w:pPr>
            <w:pStyle w:val="Header"/>
            <w:ind w:left="-115"/>
          </w:pPr>
        </w:p>
      </w:tc>
      <w:tc>
        <w:tcPr>
          <w:tcW w:w="3135" w:type="dxa"/>
        </w:tcPr>
        <w:p w14:paraId="037C9031" w14:textId="3842F564" w:rsidR="5B85A38C" w:rsidRDefault="5B85A38C" w:rsidP="5B85A38C">
          <w:pPr>
            <w:pStyle w:val="Header"/>
            <w:jc w:val="center"/>
          </w:pPr>
        </w:p>
      </w:tc>
      <w:tc>
        <w:tcPr>
          <w:tcW w:w="345" w:type="dxa"/>
        </w:tcPr>
        <w:p w14:paraId="4AED5748" w14:textId="291A356B" w:rsidR="5B85A38C" w:rsidRDefault="5B85A38C" w:rsidP="5B85A38C">
          <w:pPr>
            <w:pStyle w:val="Header"/>
            <w:ind w:right="-115"/>
            <w:jc w:val="right"/>
          </w:pPr>
        </w:p>
      </w:tc>
    </w:tr>
  </w:tbl>
  <w:p w14:paraId="1A8DB057" w14:textId="43B58982" w:rsidR="0008781A" w:rsidRDefault="00087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8781A"/>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44F"/>
    <w:rsid w:val="000B5547"/>
    <w:rsid w:val="000B6E2E"/>
    <w:rsid w:val="000B6F56"/>
    <w:rsid w:val="000B7103"/>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4F5C"/>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07D5"/>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2FF5"/>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A73D9"/>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345"/>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08FB"/>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AC3"/>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0610"/>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10B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66"/>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584"/>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23D9"/>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B7BD0"/>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59E5"/>
    <w:rsid w:val="006070EB"/>
    <w:rsid w:val="00607C0E"/>
    <w:rsid w:val="00610818"/>
    <w:rsid w:val="00611033"/>
    <w:rsid w:val="00611762"/>
    <w:rsid w:val="00611813"/>
    <w:rsid w:val="00611EC5"/>
    <w:rsid w:val="006127DE"/>
    <w:rsid w:val="00613C4F"/>
    <w:rsid w:val="006145DA"/>
    <w:rsid w:val="006151AF"/>
    <w:rsid w:val="00615279"/>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3915"/>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45D"/>
    <w:rsid w:val="006A44E8"/>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076A6"/>
    <w:rsid w:val="00711239"/>
    <w:rsid w:val="00712D08"/>
    <w:rsid w:val="0071309E"/>
    <w:rsid w:val="00713869"/>
    <w:rsid w:val="00714270"/>
    <w:rsid w:val="0071487B"/>
    <w:rsid w:val="007151ED"/>
    <w:rsid w:val="00715D6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287"/>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5D9D"/>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0A48"/>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5DCC"/>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0CC"/>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E37"/>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5BA7"/>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3B2"/>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43B8"/>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47C"/>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5B3"/>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499C"/>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2F20"/>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271"/>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19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BA3"/>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531F"/>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465"/>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190"/>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1840"/>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411"/>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0C86"/>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9C0"/>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A92"/>
    <w:rsid w:val="00EA2CEB"/>
    <w:rsid w:val="00EA3AC6"/>
    <w:rsid w:val="00EA47EA"/>
    <w:rsid w:val="00EA526E"/>
    <w:rsid w:val="00EA541E"/>
    <w:rsid w:val="00EA6C00"/>
    <w:rsid w:val="00EA71DE"/>
    <w:rsid w:val="00EA7853"/>
    <w:rsid w:val="00EA7D08"/>
    <w:rsid w:val="00EA7F1A"/>
    <w:rsid w:val="00EB0037"/>
    <w:rsid w:val="00EB00A6"/>
    <w:rsid w:val="00EB0515"/>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41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3C"/>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1E3"/>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E65"/>
    <w:rsid w:val="00F93F99"/>
    <w:rsid w:val="00F94DD2"/>
    <w:rsid w:val="00F952B2"/>
    <w:rsid w:val="00F957CC"/>
    <w:rsid w:val="00F965F9"/>
    <w:rsid w:val="00F96A92"/>
    <w:rsid w:val="00F96ECD"/>
    <w:rsid w:val="00F97832"/>
    <w:rsid w:val="00FA1212"/>
    <w:rsid w:val="00FA2240"/>
    <w:rsid w:val="00FA297E"/>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073D84"/>
    <w:rsid w:val="1822E7AC"/>
    <w:rsid w:val="1855BB90"/>
    <w:rsid w:val="186DDCF4"/>
    <w:rsid w:val="18945E48"/>
    <w:rsid w:val="18B48152"/>
    <w:rsid w:val="18C719CB"/>
    <w:rsid w:val="18EFF181"/>
    <w:rsid w:val="18F9E9E4"/>
    <w:rsid w:val="19081680"/>
    <w:rsid w:val="1943A35F"/>
    <w:rsid w:val="197E0C0B"/>
    <w:rsid w:val="19A45124"/>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BF79B4"/>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3A2C0"/>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DFA1910"/>
    <w:rsid w:val="2E480715"/>
    <w:rsid w:val="2E7B895B"/>
    <w:rsid w:val="2E942181"/>
    <w:rsid w:val="2ED97A36"/>
    <w:rsid w:val="2EE6B150"/>
    <w:rsid w:val="2EFF65BD"/>
    <w:rsid w:val="2F01E52C"/>
    <w:rsid w:val="2F28D5AA"/>
    <w:rsid w:val="2F56F89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B8FE2B"/>
    <w:rsid w:val="3BC8C027"/>
    <w:rsid w:val="3C19323F"/>
    <w:rsid w:val="3C499738"/>
    <w:rsid w:val="3C9A57B4"/>
    <w:rsid w:val="3C9E8BFE"/>
    <w:rsid w:val="3CCA4804"/>
    <w:rsid w:val="3CCB3D22"/>
    <w:rsid w:val="3D0C31B6"/>
    <w:rsid w:val="3D67536B"/>
    <w:rsid w:val="3DD09D8F"/>
    <w:rsid w:val="3DE7BF1A"/>
    <w:rsid w:val="3DF17B2F"/>
    <w:rsid w:val="3E00E45D"/>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C95CC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099BD2"/>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2F734B"/>
    <w:rsid w:val="54334E86"/>
    <w:rsid w:val="5462273A"/>
    <w:rsid w:val="5466EA62"/>
    <w:rsid w:val="5482432B"/>
    <w:rsid w:val="54B59256"/>
    <w:rsid w:val="54CED270"/>
    <w:rsid w:val="54D8FADD"/>
    <w:rsid w:val="54E8A609"/>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5A38C"/>
    <w:rsid w:val="5B8AC489"/>
    <w:rsid w:val="5BA0602A"/>
    <w:rsid w:val="5BB1E67F"/>
    <w:rsid w:val="5C0F7887"/>
    <w:rsid w:val="5C1A5C10"/>
    <w:rsid w:val="5C3BE808"/>
    <w:rsid w:val="5C66EF6E"/>
    <w:rsid w:val="5C69837B"/>
    <w:rsid w:val="5CB41D13"/>
    <w:rsid w:val="5CEDE5BB"/>
    <w:rsid w:val="5CF251EA"/>
    <w:rsid w:val="5D116FCD"/>
    <w:rsid w:val="5D4209DD"/>
    <w:rsid w:val="5DB326C7"/>
    <w:rsid w:val="5E335F5D"/>
    <w:rsid w:val="5E4E491F"/>
    <w:rsid w:val="5E9D4FF7"/>
    <w:rsid w:val="5ED1F144"/>
    <w:rsid w:val="5EEBD525"/>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8381E3"/>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7FF279"/>
    <w:rsid w:val="73F004CC"/>
    <w:rsid w:val="740CF019"/>
    <w:rsid w:val="7452C862"/>
    <w:rsid w:val="74556763"/>
    <w:rsid w:val="7483229D"/>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1DCB72"/>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EF3A362C-CA9A-41F0-B6DD-A963A837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tabchar">
    <w:name w:val="tabchar"/>
    <w:basedOn w:val="DefaultParagraphFont"/>
    <w:rsid w:val="0079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06001911">
      <w:bodyDiv w:val="1"/>
      <w:marLeft w:val="0"/>
      <w:marRight w:val="0"/>
      <w:marTop w:val="0"/>
      <w:marBottom w:val="0"/>
      <w:divBdr>
        <w:top w:val="none" w:sz="0" w:space="0" w:color="auto"/>
        <w:left w:val="none" w:sz="0" w:space="0" w:color="auto"/>
        <w:bottom w:val="none" w:sz="0" w:space="0" w:color="auto"/>
        <w:right w:val="none" w:sz="0" w:space="0" w:color="auto"/>
      </w:divBdr>
      <w:divsChild>
        <w:div w:id="211887991">
          <w:marLeft w:val="0"/>
          <w:marRight w:val="0"/>
          <w:marTop w:val="0"/>
          <w:marBottom w:val="0"/>
          <w:divBdr>
            <w:top w:val="none" w:sz="0" w:space="0" w:color="auto"/>
            <w:left w:val="none" w:sz="0" w:space="0" w:color="auto"/>
            <w:bottom w:val="none" w:sz="0" w:space="0" w:color="auto"/>
            <w:right w:val="none" w:sz="0" w:space="0" w:color="auto"/>
          </w:divBdr>
        </w:div>
        <w:div w:id="263651417">
          <w:marLeft w:val="0"/>
          <w:marRight w:val="0"/>
          <w:marTop w:val="0"/>
          <w:marBottom w:val="0"/>
          <w:divBdr>
            <w:top w:val="none" w:sz="0" w:space="0" w:color="auto"/>
            <w:left w:val="none" w:sz="0" w:space="0" w:color="auto"/>
            <w:bottom w:val="none" w:sz="0" w:space="0" w:color="auto"/>
            <w:right w:val="none" w:sz="0" w:space="0" w:color="auto"/>
          </w:divBdr>
        </w:div>
        <w:div w:id="271404358">
          <w:marLeft w:val="0"/>
          <w:marRight w:val="0"/>
          <w:marTop w:val="0"/>
          <w:marBottom w:val="0"/>
          <w:divBdr>
            <w:top w:val="none" w:sz="0" w:space="0" w:color="auto"/>
            <w:left w:val="none" w:sz="0" w:space="0" w:color="auto"/>
            <w:bottom w:val="none" w:sz="0" w:space="0" w:color="auto"/>
            <w:right w:val="none" w:sz="0" w:space="0" w:color="auto"/>
          </w:divBdr>
        </w:div>
        <w:div w:id="349917927">
          <w:marLeft w:val="0"/>
          <w:marRight w:val="0"/>
          <w:marTop w:val="0"/>
          <w:marBottom w:val="0"/>
          <w:divBdr>
            <w:top w:val="none" w:sz="0" w:space="0" w:color="auto"/>
            <w:left w:val="none" w:sz="0" w:space="0" w:color="auto"/>
            <w:bottom w:val="none" w:sz="0" w:space="0" w:color="auto"/>
            <w:right w:val="none" w:sz="0" w:space="0" w:color="auto"/>
          </w:divBdr>
        </w:div>
        <w:div w:id="729039165">
          <w:marLeft w:val="0"/>
          <w:marRight w:val="0"/>
          <w:marTop w:val="0"/>
          <w:marBottom w:val="0"/>
          <w:divBdr>
            <w:top w:val="none" w:sz="0" w:space="0" w:color="auto"/>
            <w:left w:val="none" w:sz="0" w:space="0" w:color="auto"/>
            <w:bottom w:val="none" w:sz="0" w:space="0" w:color="auto"/>
            <w:right w:val="none" w:sz="0" w:space="0" w:color="auto"/>
          </w:divBdr>
        </w:div>
        <w:div w:id="1373504091">
          <w:marLeft w:val="0"/>
          <w:marRight w:val="0"/>
          <w:marTop w:val="0"/>
          <w:marBottom w:val="0"/>
          <w:divBdr>
            <w:top w:val="none" w:sz="0" w:space="0" w:color="auto"/>
            <w:left w:val="none" w:sz="0" w:space="0" w:color="auto"/>
            <w:bottom w:val="none" w:sz="0" w:space="0" w:color="auto"/>
            <w:right w:val="none" w:sz="0" w:space="0" w:color="auto"/>
          </w:divBdr>
        </w:div>
        <w:div w:id="1390227787">
          <w:marLeft w:val="0"/>
          <w:marRight w:val="0"/>
          <w:marTop w:val="0"/>
          <w:marBottom w:val="0"/>
          <w:divBdr>
            <w:top w:val="none" w:sz="0" w:space="0" w:color="auto"/>
            <w:left w:val="none" w:sz="0" w:space="0" w:color="auto"/>
            <w:bottom w:val="none" w:sz="0" w:space="0" w:color="auto"/>
            <w:right w:val="none" w:sz="0" w:space="0" w:color="auto"/>
          </w:divBdr>
        </w:div>
      </w:divsChild>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seusmining.com/yaoure-2/?lang=fr"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nitowoc.com/fr/grove/grues-automotrices-routieres/gmk5150l" TargetMode="External"/><Relationship Id="rId17" Type="http://schemas.openxmlformats.org/officeDocument/2006/relationships/hyperlink" Target="http://www.manitowo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molagru.com/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ersonsimons.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F93113A2-4B61-40EE-9D75-054755F7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813</Words>
  <Characters>4638</Characters>
  <Application>Microsoft Office Word</Application>
  <DocSecurity>0</DocSecurity>
  <Lines>38</Lines>
  <Paragraphs>10</Paragraphs>
  <ScaleCrop>false</ScaleCrop>
  <Company>Lippincott Mercer</Company>
  <LinksUpToDate>false</LinksUpToDate>
  <CharactersWithSpaces>5441</CharactersWithSpaces>
  <SharedDoc>false</SharedDoc>
  <HLinks>
    <vt:vector size="24" baseType="variant">
      <vt:variant>
        <vt:i4>4587545</vt:i4>
      </vt:variant>
      <vt:variant>
        <vt:i4>9</vt:i4>
      </vt:variant>
      <vt:variant>
        <vt:i4>0</vt:i4>
      </vt:variant>
      <vt:variant>
        <vt:i4>5</vt:i4>
      </vt:variant>
      <vt:variant>
        <vt:lpwstr>http://www.manitowoc.com/</vt:lpwstr>
      </vt:variant>
      <vt:variant>
        <vt:lpwstr/>
      </vt:variant>
      <vt:variant>
        <vt:i4>3014742</vt:i4>
      </vt:variant>
      <vt:variant>
        <vt:i4>6</vt:i4>
      </vt:variant>
      <vt:variant>
        <vt:i4>0</vt:i4>
      </vt:variant>
      <vt:variant>
        <vt:i4>5</vt:i4>
      </vt:variant>
      <vt:variant>
        <vt:lpwstr>mailto:Anna.theilen@manitowoc.com</vt:lpwstr>
      </vt:variant>
      <vt:variant>
        <vt:lpwstr/>
      </vt:variant>
      <vt:variant>
        <vt:i4>2031701</vt:i4>
      </vt:variant>
      <vt:variant>
        <vt:i4>3</vt:i4>
      </vt:variant>
      <vt:variant>
        <vt:i4>0</vt:i4>
      </vt:variant>
      <vt:variant>
        <vt:i4>5</vt:i4>
      </vt:variant>
      <vt:variant>
        <vt:lpwstr>https://www.imolagru.com/en/</vt:lpwstr>
      </vt:variant>
      <vt:variant>
        <vt:lpwstr/>
      </vt:variant>
      <vt:variant>
        <vt:i4>7143524</vt:i4>
      </vt:variant>
      <vt:variant>
        <vt:i4>0</vt:i4>
      </vt:variant>
      <vt:variant>
        <vt:i4>0</vt:i4>
      </vt:variant>
      <vt:variant>
        <vt:i4>5</vt:i4>
      </vt:variant>
      <vt:variant>
        <vt:lpwstr>https://perseusmining.com/yaoure-2/?lang=fr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9</cp:revision>
  <cp:lastPrinted>2024-04-22T11:42:00Z</cp:lastPrinted>
  <dcterms:created xsi:type="dcterms:W3CDTF">2025-06-04T09:09:00Z</dcterms:created>
  <dcterms:modified xsi:type="dcterms:W3CDTF">2025-06-09T11:29:00Z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f97889ce-05ce-4eea-b68e-69dab4937e5e</vt:lpwstr>
  </property>
</Properties>
</file>