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0D" w:rsidRDefault="00F25A0D" w:rsidP="00F25A0D">
      <w:pPr>
        <w:tabs>
          <w:tab w:val="left" w:pos="6096"/>
        </w:tabs>
        <w:spacing w:line="276" w:lineRule="auto"/>
        <w:jc w:val="right"/>
        <w:rPr>
          <w:rFonts w:ascii="Verdana" w:hAnsi="Verdana"/>
          <w:color w:val="ED1C2A"/>
          <w:sz w:val="30"/>
          <w:szCs w:val="30"/>
        </w:rPr>
      </w:pPr>
      <w:r>
        <w:rPr>
          <w:rFonts w:ascii="Georgia" w:hAnsi="Georgia"/>
          <w:noProof/>
          <w:sz w:val="21"/>
          <w:szCs w:val="21"/>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-34074</wp:posOffset>
            </wp:positionV>
            <wp:extent cx="1485900" cy="346710"/>
            <wp:effectExtent l="0" t="0" r="1270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rsidR="00F25A0D" w:rsidRPr="00164A29" w:rsidRDefault="00032D41" w:rsidP="00F25A0D">
      <w:pPr>
        <w:spacing w:line="276" w:lineRule="auto"/>
        <w:jc w:val="right"/>
        <w:rPr>
          <w:rFonts w:ascii="Verdana" w:hAnsi="Verdana"/>
          <w:color w:val="41525C"/>
          <w:sz w:val="18"/>
          <w:szCs w:val="18"/>
        </w:rPr>
      </w:pPr>
      <w:r>
        <w:rPr>
          <w:rFonts w:ascii="Verdana" w:hAnsi="Verdana"/>
          <w:color w:val="41525C"/>
          <w:sz w:val="18"/>
          <w:szCs w:val="18"/>
        </w:rPr>
        <w:t> </w:t>
      </w:r>
      <w:r w:rsidR="00D60399">
        <w:rPr>
          <w:rFonts w:ascii="Verdana" w:hAnsi="Verdana"/>
          <w:color w:val="41525C"/>
          <w:sz w:val="18"/>
          <w:szCs w:val="18"/>
        </w:rPr>
        <w:t>19</w:t>
      </w:r>
      <w:r w:rsidR="00B062E7">
        <w:rPr>
          <w:rFonts w:ascii="Verdana" w:hAnsi="Verdana"/>
          <w:color w:val="41525C"/>
          <w:sz w:val="18"/>
          <w:szCs w:val="18"/>
        </w:rPr>
        <w:t xml:space="preserve"> </w:t>
      </w:r>
      <w:r w:rsidR="0074308A">
        <w:rPr>
          <w:rFonts w:ascii="Verdana" w:hAnsi="Verdana"/>
          <w:color w:val="41525C"/>
          <w:sz w:val="18"/>
          <w:szCs w:val="18"/>
        </w:rPr>
        <w:t>septembre</w:t>
      </w:r>
      <w:r>
        <w:rPr>
          <w:rFonts w:ascii="Verdana" w:hAnsi="Verdana"/>
          <w:color w:val="41525C"/>
          <w:sz w:val="18"/>
          <w:szCs w:val="18"/>
        </w:rPr>
        <w:t> 2022</w:t>
      </w:r>
    </w:p>
    <w:p w:rsidR="00CB64A0" w:rsidRDefault="00CB64A0" w:rsidP="00F25A0D">
      <w:pPr>
        <w:spacing w:line="276" w:lineRule="auto"/>
        <w:rPr>
          <w:rFonts w:ascii="Georgia" w:hAnsi="Georgia"/>
          <w:b/>
          <w:bCs/>
          <w:sz w:val="28"/>
          <w:szCs w:val="28"/>
        </w:rPr>
      </w:pPr>
      <w:bookmarkStart w:id="0" w:name="_Hlk100907192"/>
    </w:p>
    <w:p w:rsidR="00F25A0D" w:rsidRDefault="00F816FB" w:rsidP="38F02ADD">
      <w:pPr>
        <w:spacing w:line="257" w:lineRule="auto"/>
        <w:rPr>
          <w:rFonts w:ascii="Georgia" w:hAnsi="Georgia"/>
          <w:b/>
          <w:bCs/>
          <w:sz w:val="28"/>
          <w:szCs w:val="28"/>
        </w:rPr>
      </w:pPr>
      <w:r w:rsidRPr="00F816FB">
        <w:rPr>
          <w:rFonts w:ascii="Georgia" w:hAnsi="Georgia"/>
          <w:b/>
          <w:bCs/>
          <w:sz w:val="28"/>
          <w:szCs w:val="28"/>
        </w:rPr>
        <w:t>Les grues à flèche relevable Potain MR 295 atteignent de nouveaux sommets sur un projet de grande hauteur dans le sud de la France</w:t>
      </w:r>
    </w:p>
    <w:bookmarkEnd w:id="0"/>
    <w:p w:rsidR="00D963FB" w:rsidRPr="008747BC" w:rsidRDefault="00D963FB" w:rsidP="00D963FB">
      <w:pPr>
        <w:pStyle w:val="ListParagraph"/>
        <w:spacing w:line="276" w:lineRule="auto"/>
        <w:rPr>
          <w:rFonts w:ascii="Georgia" w:hAnsi="Georgia"/>
          <w:sz w:val="21"/>
          <w:szCs w:val="21"/>
        </w:rPr>
      </w:pPr>
    </w:p>
    <w:p w:rsidR="1F76BCB0" w:rsidRDefault="1F76BCB0" w:rsidP="38F02ADD">
      <w:pPr>
        <w:pStyle w:val="ListParagraph"/>
        <w:numPr>
          <w:ilvl w:val="0"/>
          <w:numId w:val="2"/>
        </w:numPr>
        <w:spacing w:line="276" w:lineRule="auto"/>
        <w:rPr>
          <w:rFonts w:asciiTheme="minorHAnsi" w:eastAsiaTheme="minorEastAsia" w:hAnsiTheme="minorHAnsi" w:cstheme="minorBidi"/>
          <w:i/>
          <w:iCs/>
          <w:sz w:val="21"/>
          <w:szCs w:val="21"/>
        </w:rPr>
      </w:pPr>
      <w:r w:rsidRPr="38F02ADD">
        <w:rPr>
          <w:rFonts w:ascii="Georgia" w:hAnsi="Georgia"/>
          <w:i/>
          <w:iCs/>
          <w:sz w:val="21"/>
          <w:szCs w:val="21"/>
        </w:rPr>
        <w:t xml:space="preserve">Léon Gosse, client de longue date de Potain, a déployé deux grues à flèche relevable MR 295 pour participer à la construction de la nouvelle tour Mirabeau sur le front de mer de Marseille.  </w:t>
      </w:r>
    </w:p>
    <w:p w:rsidR="1F76BCB0" w:rsidRDefault="7C810434" w:rsidP="7C810434">
      <w:pPr>
        <w:pStyle w:val="ListParagraph"/>
        <w:numPr>
          <w:ilvl w:val="0"/>
          <w:numId w:val="2"/>
        </w:numPr>
        <w:spacing w:line="276" w:lineRule="auto"/>
        <w:rPr>
          <w:rFonts w:asciiTheme="minorHAnsi" w:eastAsiaTheme="minorEastAsia" w:hAnsiTheme="minorHAnsi" w:cstheme="minorBidi"/>
          <w:i/>
          <w:iCs/>
          <w:sz w:val="21"/>
          <w:szCs w:val="21"/>
        </w:rPr>
      </w:pPr>
      <w:r w:rsidRPr="7C810434">
        <w:rPr>
          <w:rFonts w:ascii="Georgia" w:hAnsi="Georgia"/>
          <w:i/>
          <w:iCs/>
          <w:sz w:val="21"/>
          <w:szCs w:val="21"/>
        </w:rPr>
        <w:t>L'entrepreneur français a choisi les grues Potain pour leur format compact, leur fiabilité éprouvée et leur efficacité dans le processus de construction requis sur ce chantier.</w:t>
      </w:r>
    </w:p>
    <w:p w:rsidR="7C810434" w:rsidRDefault="7C810434" w:rsidP="7C810434">
      <w:pPr>
        <w:pStyle w:val="ListParagraph"/>
        <w:numPr>
          <w:ilvl w:val="0"/>
          <w:numId w:val="2"/>
        </w:numPr>
        <w:spacing w:line="276" w:lineRule="auto"/>
        <w:rPr>
          <w:rFonts w:asciiTheme="minorHAnsi" w:eastAsiaTheme="minorEastAsia" w:hAnsiTheme="minorHAnsi" w:cstheme="minorBidi"/>
          <w:i/>
          <w:iCs/>
          <w:sz w:val="21"/>
          <w:szCs w:val="21"/>
        </w:rPr>
      </w:pPr>
      <w:r w:rsidRPr="7C810434">
        <w:rPr>
          <w:rFonts w:ascii="Georgia" w:eastAsiaTheme="minorEastAsia" w:hAnsi="Georgia"/>
          <w:i/>
          <w:iCs/>
          <w:sz w:val="21"/>
          <w:szCs w:val="21"/>
        </w:rPr>
        <w:t>Les grues sont les premières en France à utiliser des cadres d’ancrage AK 801 de dernière génération pour le télescopage. Ceux-ci augmentent les hauteurs d’autonomie des grues et réduisent le nombre de points d’ancrage.</w:t>
      </w:r>
    </w:p>
    <w:p w:rsidR="38F02ADD" w:rsidRPr="00B062E7" w:rsidRDefault="38F02ADD" w:rsidP="38F02ADD">
      <w:pPr>
        <w:spacing w:line="276" w:lineRule="auto"/>
      </w:pPr>
    </w:p>
    <w:p w:rsidR="2E33DA76" w:rsidRDefault="7C810434" w:rsidP="7C810434">
      <w:pPr>
        <w:spacing w:line="276" w:lineRule="auto"/>
      </w:pPr>
      <w:r w:rsidRPr="7C810434">
        <w:rPr>
          <w:rFonts w:ascii="Georgia" w:eastAsia="Georgia" w:hAnsi="Georgia" w:cs="Georgia"/>
          <w:sz w:val="21"/>
          <w:szCs w:val="21"/>
        </w:rPr>
        <w:t>Deux grues à flèche relevable Potain MR 295 participent à la construction d'un nouveau bâtiment majeur à Marseille.  Ce nouvel écrin tertiaire d’une emprise foncière de 1300 m² pour une superficie de bureaux de 21</w:t>
      </w:r>
      <w:r w:rsidR="00B062E7">
        <w:rPr>
          <w:rFonts w:ascii="Georgia" w:eastAsia="Georgia" w:hAnsi="Georgia" w:cs="Georgia"/>
          <w:sz w:val="21"/>
          <w:szCs w:val="21"/>
        </w:rPr>
        <w:t>.</w:t>
      </w:r>
      <w:r w:rsidRPr="7C810434">
        <w:rPr>
          <w:rFonts w:ascii="Georgia" w:eastAsia="Georgia" w:hAnsi="Georgia" w:cs="Georgia"/>
          <w:sz w:val="21"/>
          <w:szCs w:val="21"/>
        </w:rPr>
        <w:t xml:space="preserve">800 m² transformera la ligne d’horizon de la ville.  </w:t>
      </w:r>
    </w:p>
    <w:p w:rsidR="38F02ADD" w:rsidRDefault="38F02ADD" w:rsidP="38F02ADD">
      <w:pPr>
        <w:spacing w:line="276" w:lineRule="auto"/>
      </w:pP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t>Les travaux de la tour Mirabeau ont commencé en juillet 2020 et, une fois terminés, l’immeuble de bureaux de 21 étages de 85 m de haut deviendra le troisième plus haut gratte-ciel de la ville.</w:t>
      </w:r>
    </w:p>
    <w:p w:rsidR="38F02ADD" w:rsidRDefault="38F02ADD" w:rsidP="38F02ADD">
      <w:pPr>
        <w:spacing w:line="276" w:lineRule="auto"/>
        <w:rPr>
          <w:rFonts w:ascii="Georgia" w:eastAsia="Georgia" w:hAnsi="Georgia" w:cs="Georgia"/>
          <w:sz w:val="21"/>
          <w:szCs w:val="21"/>
        </w:rPr>
      </w:pPr>
    </w:p>
    <w:p w:rsidR="38F02ADD" w:rsidRDefault="7C810434" w:rsidP="7C810434">
      <w:pPr>
        <w:spacing w:line="257" w:lineRule="auto"/>
        <w:rPr>
          <w:rFonts w:ascii="Georgia" w:eastAsia="Georgia" w:hAnsi="Georgia" w:cs="Georgia"/>
          <w:sz w:val="21"/>
          <w:szCs w:val="21"/>
        </w:rPr>
      </w:pPr>
      <w:r w:rsidRPr="7C810434">
        <w:rPr>
          <w:rFonts w:ascii="Georgia" w:eastAsia="Georgia" w:hAnsi="Georgia" w:cs="Georgia"/>
          <w:sz w:val="21"/>
          <w:szCs w:val="21"/>
        </w:rPr>
        <w:t>Ce chantier spécifique a nécessité des télescopages réguliers qui à cause de contraintes horaires ont dû être effectués aussi bien de jour que de nuit. Après un montage des machines à une hauteur sous pivot d'autonomie de 55,8 m pour la première et de 31,12 m pour la seconde, les machines ont été télescopées toutes les 4 à 6 semaines.</w:t>
      </w:r>
    </w:p>
    <w:p w:rsidR="38F02ADD" w:rsidRDefault="38F02ADD" w:rsidP="7C810434">
      <w:pPr>
        <w:spacing w:line="276" w:lineRule="auto"/>
      </w:pPr>
    </w:p>
    <w:p w:rsidR="38F02ADD"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La première grue montée sur châssis ZY 800 culminera à une hauteur sous crochet de 85,8 m avec 3 ancrages en façade. La seconde, montée sur châssis ZY 854 lui-même installé sur un portique en béton d'une hauteur de 15 m environ, terminera son ascension à une hauteur sous crochet de 79,45 m avec 4 ancrages en façade.</w:t>
      </w:r>
    </w:p>
    <w:p w:rsidR="38F02ADD" w:rsidRDefault="38F02ADD" w:rsidP="38F02ADD">
      <w:pPr>
        <w:spacing w:line="276" w:lineRule="auto"/>
        <w:rPr>
          <w:rFonts w:ascii="Georgia" w:eastAsia="Georgia" w:hAnsi="Georgia" w:cs="Georgia"/>
          <w:sz w:val="21"/>
          <w:szCs w:val="21"/>
        </w:rPr>
      </w:pPr>
    </w:p>
    <w:p w:rsidR="2D201548" w:rsidRDefault="2D201548" w:rsidP="38F02ADD">
      <w:pPr>
        <w:spacing w:line="276" w:lineRule="auto"/>
        <w:rPr>
          <w:rFonts w:ascii="Georgia" w:eastAsia="Georgia" w:hAnsi="Georgia" w:cs="Georgia"/>
          <w:b/>
          <w:bCs/>
          <w:sz w:val="21"/>
          <w:szCs w:val="21"/>
        </w:rPr>
      </w:pPr>
      <w:r w:rsidRPr="38F02ADD">
        <w:rPr>
          <w:rFonts w:ascii="Georgia" w:eastAsia="Georgia" w:hAnsi="Georgia" w:cs="Georgia"/>
          <w:b/>
          <w:bCs/>
          <w:sz w:val="21"/>
          <w:szCs w:val="21"/>
        </w:rPr>
        <w:t>Une première pour la France</w:t>
      </w:r>
    </w:p>
    <w:p w:rsidR="38F02ADD" w:rsidRDefault="38F02ADD" w:rsidP="38F02ADD">
      <w:pPr>
        <w:spacing w:line="276" w:lineRule="auto"/>
        <w:rPr>
          <w:rFonts w:ascii="Georgia" w:eastAsia="Georgia" w:hAnsi="Georgia" w:cs="Georgia"/>
          <w:sz w:val="21"/>
          <w:szCs w:val="21"/>
        </w:rPr>
      </w:pPr>
    </w:p>
    <w:p w:rsidR="38F02ADD"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La configuration des grues comprend des cadres d'ancrage AK 801, qui sont utilisés pour la première fois en France sur ce projet. Ce cadre de dernière génération, permet de reprendre plus d’efforts, offre des performances étendues en limitant les nombres d’ancrages et en augmentant les hauteurs libres.</w:t>
      </w:r>
    </w:p>
    <w:p w:rsidR="38F02ADD" w:rsidRDefault="38F02ADD" w:rsidP="7C810434">
      <w:pPr>
        <w:spacing w:line="276" w:lineRule="auto"/>
      </w:pPr>
    </w:p>
    <w:p w:rsidR="38F02ADD"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 xml:space="preserve">La société Léon Grosse dirige les travaux du projet de la Tour Mirabeau. Ce constructeur indépendant est un client de longue date des grues Potain. L’entreprise possède une flotte d’environ 30 grues Potain topless d’une capacité allant de 150 à 400 mt. </w:t>
      </w:r>
    </w:p>
    <w:p w:rsidR="00B062E7" w:rsidRDefault="00B062E7" w:rsidP="7C810434">
      <w:pPr>
        <w:spacing w:line="276" w:lineRule="auto"/>
        <w:rPr>
          <w:rFonts w:ascii="Georgia" w:eastAsia="Georgia" w:hAnsi="Georgia" w:cs="Georgia"/>
          <w:sz w:val="21"/>
          <w:szCs w:val="21"/>
        </w:rPr>
      </w:pPr>
    </w:p>
    <w:p w:rsidR="38F02ADD" w:rsidRPr="00B062E7"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 xml:space="preserve">Pour ce chantier de la tour Mirabeau à Marseille, un site en milieu particulièrement contraint, le choix s’est porté sur des grues à flèches relevables Potain MR 295. Ces deux grues appartenant à la société </w:t>
      </w:r>
      <w:proofErr w:type="spellStart"/>
      <w:r w:rsidRPr="7C810434">
        <w:rPr>
          <w:rFonts w:ascii="Georgia" w:eastAsia="Georgia" w:hAnsi="Georgia" w:cs="Georgia"/>
          <w:sz w:val="21"/>
          <w:szCs w:val="21"/>
        </w:rPr>
        <w:t>Loga</w:t>
      </w:r>
      <w:proofErr w:type="spellEnd"/>
      <w:r w:rsidRPr="7C810434">
        <w:rPr>
          <w:rFonts w:ascii="Georgia" w:eastAsia="Georgia" w:hAnsi="Georgia" w:cs="Georgia"/>
          <w:sz w:val="21"/>
          <w:szCs w:val="21"/>
        </w:rPr>
        <w:t xml:space="preserve"> ont été louées à la société Léon Grosse.</w:t>
      </w: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lastRenderedPageBreak/>
        <w:t xml:space="preserve">Compte tenu de la nature particulièrement confinée du chantier, le référent levage chez Léon Grosse Damien Le </w:t>
      </w:r>
      <w:proofErr w:type="spellStart"/>
      <w:r w:rsidRPr="7C810434">
        <w:rPr>
          <w:rFonts w:ascii="Georgia" w:eastAsia="Georgia" w:hAnsi="Georgia" w:cs="Georgia"/>
          <w:sz w:val="21"/>
          <w:szCs w:val="21"/>
        </w:rPr>
        <w:t>Huec</w:t>
      </w:r>
      <w:proofErr w:type="spellEnd"/>
      <w:r w:rsidRPr="7C810434">
        <w:rPr>
          <w:rFonts w:ascii="Georgia" w:eastAsia="Georgia" w:hAnsi="Georgia" w:cs="Georgia"/>
          <w:sz w:val="21"/>
          <w:szCs w:val="21"/>
        </w:rPr>
        <w:t xml:space="preserve"> a estimé que la grue à flèche relevable Potain MR 295 était le modèle approprié pour ce chantier.</w:t>
      </w:r>
    </w:p>
    <w:p w:rsidR="38F02ADD" w:rsidRDefault="38F02ADD" w:rsidP="38F02ADD">
      <w:pPr>
        <w:spacing w:line="276" w:lineRule="auto"/>
        <w:rPr>
          <w:rFonts w:ascii="Georgia" w:eastAsia="Georgia" w:hAnsi="Georgia" w:cs="Georgia"/>
          <w:sz w:val="21"/>
          <w:szCs w:val="21"/>
        </w:rPr>
      </w:pPr>
    </w:p>
    <w:p w:rsidR="2D201548"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"Ce modèle a déjà fait ses preuves sur de nombreux chantiers", a-t-il déclaré. "Il a une courbe de charge forte et est adapté aux besoins de l'équipe sur ce site spécifique".</w:t>
      </w:r>
    </w:p>
    <w:p w:rsidR="38F02ADD" w:rsidRDefault="38F02ADD" w:rsidP="38F02ADD">
      <w:pPr>
        <w:spacing w:line="276" w:lineRule="auto"/>
        <w:rPr>
          <w:rFonts w:ascii="Georgia" w:eastAsia="Georgia" w:hAnsi="Georgia" w:cs="Georgia"/>
          <w:sz w:val="21"/>
          <w:szCs w:val="21"/>
        </w:rPr>
      </w:pPr>
    </w:p>
    <w:p w:rsidR="38F02ADD" w:rsidRDefault="7C810434" w:rsidP="7C810434">
      <w:pPr>
        <w:spacing w:line="276" w:lineRule="auto"/>
        <w:rPr>
          <w:rFonts w:ascii="Georgia" w:eastAsia="Georgia" w:hAnsi="Georgia" w:cs="Georgia"/>
          <w:sz w:val="21"/>
          <w:szCs w:val="21"/>
        </w:rPr>
      </w:pPr>
      <w:r w:rsidRPr="7C810434">
        <w:rPr>
          <w:rFonts w:ascii="Georgia" w:eastAsia="Georgia" w:hAnsi="Georgia" w:cs="Georgia"/>
          <w:sz w:val="21"/>
          <w:szCs w:val="21"/>
        </w:rPr>
        <w:t>Léon Gosse a été fondée en Savoie et est aujourd’hui un acteur majeur de l’industrie de la construction en France. Elle emploie 2 000 personnes et a réalisé un chiffre d’affaires de 650 M€ en 2021.</w:t>
      </w:r>
    </w:p>
    <w:p w:rsidR="38F02ADD" w:rsidRDefault="7C810434" w:rsidP="38F02ADD">
      <w:pPr>
        <w:spacing w:line="276" w:lineRule="auto"/>
        <w:rPr>
          <w:rFonts w:ascii="Georgia" w:eastAsia="Georgia" w:hAnsi="Georgia" w:cs="Georgia"/>
          <w:sz w:val="21"/>
          <w:szCs w:val="21"/>
        </w:rPr>
      </w:pPr>
      <w:r w:rsidRPr="7C810434">
        <w:rPr>
          <w:rFonts w:ascii="Georgia" w:eastAsia="Georgia" w:hAnsi="Georgia" w:cs="Georgia"/>
          <w:sz w:val="21"/>
          <w:szCs w:val="21"/>
        </w:rPr>
        <w:t xml:space="preserve"> </w:t>
      </w:r>
    </w:p>
    <w:p w:rsidR="2D201548" w:rsidRDefault="2D201548" w:rsidP="38F02ADD">
      <w:pPr>
        <w:spacing w:line="276" w:lineRule="auto"/>
        <w:rPr>
          <w:rFonts w:ascii="Georgia" w:eastAsia="Georgia" w:hAnsi="Georgia" w:cs="Georgia"/>
          <w:b/>
          <w:bCs/>
          <w:sz w:val="21"/>
          <w:szCs w:val="21"/>
        </w:rPr>
      </w:pPr>
      <w:r w:rsidRPr="38F02ADD">
        <w:rPr>
          <w:rFonts w:ascii="Georgia" w:eastAsia="Georgia" w:hAnsi="Georgia" w:cs="Georgia"/>
          <w:b/>
          <w:bCs/>
          <w:sz w:val="21"/>
          <w:szCs w:val="21"/>
        </w:rPr>
        <w:t>Minimiser l'impact environnemental</w:t>
      </w:r>
    </w:p>
    <w:p w:rsidR="38F02ADD" w:rsidRDefault="38F02ADD" w:rsidP="38F02ADD">
      <w:pPr>
        <w:spacing w:line="276" w:lineRule="auto"/>
        <w:rPr>
          <w:rFonts w:ascii="Georgia" w:eastAsia="Georgia" w:hAnsi="Georgia" w:cs="Georgia"/>
          <w:sz w:val="21"/>
          <w:szCs w:val="21"/>
        </w:rPr>
      </w:pP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t>Tout au long de ses 140 années d’activité, l’entreprise a acquis la réputation de surmonter les défis techniques et de minimiser l’empreinte environnementale des projets. Elle combinera à nouveau ces deux compétences sur le projet de la tour Mirabeau.</w:t>
      </w:r>
    </w:p>
    <w:p w:rsidR="38F02ADD" w:rsidRDefault="38F02ADD" w:rsidP="38F02ADD">
      <w:pPr>
        <w:spacing w:line="276" w:lineRule="auto"/>
        <w:rPr>
          <w:rFonts w:ascii="Georgia" w:eastAsia="Georgia" w:hAnsi="Georgia" w:cs="Georgia"/>
          <w:sz w:val="21"/>
          <w:szCs w:val="21"/>
        </w:rPr>
      </w:pP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t xml:space="preserve">Le projet s’efforce d’atteindre un niveau « Excellent » dans sa certification HQE </w:t>
      </w:r>
      <w:proofErr w:type="spellStart"/>
      <w:r w:rsidRPr="7C810434">
        <w:rPr>
          <w:rFonts w:ascii="Georgia" w:eastAsia="Georgia" w:hAnsi="Georgia" w:cs="Georgia"/>
          <w:sz w:val="21"/>
          <w:szCs w:val="21"/>
        </w:rPr>
        <w:t>Sustainable</w:t>
      </w:r>
      <w:proofErr w:type="spellEnd"/>
      <w:r w:rsidRPr="7C810434">
        <w:rPr>
          <w:rFonts w:ascii="Georgia" w:eastAsia="Georgia" w:hAnsi="Georgia" w:cs="Georgia"/>
          <w:sz w:val="21"/>
          <w:szCs w:val="21"/>
        </w:rPr>
        <w:t xml:space="preserve"> Building. Les façades en panneaux de verre et d’aluminium changeront de position en fonction de la trajectoire du soleil, tandis que les auvents opaques contrôleront les niveaux de lumière et de bruit pour aider à garder les occupants du bâtiment à l’aise. La tour Mirabeau sera également équipée d’un système de refroidissement par géothermie marine, qui promet des émissions 70% inférieures à celles de la technologie de refroidissement conventionnelle.</w:t>
      </w: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t xml:space="preserve"> </w:t>
      </w:r>
    </w:p>
    <w:p w:rsidR="7C810434" w:rsidRDefault="7C810434" w:rsidP="7C810434">
      <w:pPr>
        <w:rPr>
          <w:rFonts w:ascii="Georgia" w:eastAsia="Georgia" w:hAnsi="Georgia" w:cs="Georgia"/>
          <w:sz w:val="21"/>
          <w:szCs w:val="21"/>
        </w:rPr>
      </w:pPr>
      <w:r w:rsidRPr="7C810434">
        <w:rPr>
          <w:rFonts w:ascii="Georgia" w:eastAsia="Georgia" w:hAnsi="Georgia" w:cs="Georgia"/>
          <w:sz w:val="21"/>
          <w:szCs w:val="21"/>
        </w:rPr>
        <w:t>Le projet devrait être achevé fin 2023.</w:t>
      </w:r>
    </w:p>
    <w:p w:rsidR="38F02ADD" w:rsidRDefault="38F02ADD" w:rsidP="38F02ADD">
      <w:pPr>
        <w:spacing w:line="276" w:lineRule="auto"/>
        <w:rPr>
          <w:rFonts w:ascii="Georgia" w:eastAsia="Georgia" w:hAnsi="Georgia" w:cs="Georgia"/>
          <w:sz w:val="21"/>
          <w:szCs w:val="21"/>
        </w:rPr>
      </w:pPr>
    </w:p>
    <w:p w:rsidR="2D201548" w:rsidRDefault="2D201548" w:rsidP="38F02ADD">
      <w:pPr>
        <w:spacing w:line="276" w:lineRule="auto"/>
        <w:rPr>
          <w:rFonts w:ascii="Georgia" w:eastAsia="Georgia" w:hAnsi="Georgia" w:cs="Georgia"/>
          <w:sz w:val="21"/>
          <w:szCs w:val="21"/>
        </w:rPr>
      </w:pPr>
      <w:r w:rsidRPr="38F02ADD">
        <w:rPr>
          <w:rFonts w:ascii="Georgia" w:eastAsia="Georgia" w:hAnsi="Georgia" w:cs="Georgia"/>
          <w:sz w:val="21"/>
          <w:szCs w:val="21"/>
        </w:rPr>
        <w:t xml:space="preserve">Veuillez consulter le site Web de Manitowoc pour plus d'informations sur la </w:t>
      </w:r>
      <w:hyperlink r:id="rId11">
        <w:r w:rsidRPr="38F02ADD">
          <w:rPr>
            <w:rStyle w:val="Hyperlink"/>
            <w:rFonts w:ascii="Georgia" w:eastAsia="Georgia" w:hAnsi="Georgia" w:cs="Georgia"/>
            <w:sz w:val="21"/>
            <w:szCs w:val="21"/>
          </w:rPr>
          <w:t>grue Potain MR 295 à flèche relevable</w:t>
        </w:r>
      </w:hyperlink>
      <w:r w:rsidRPr="38F02ADD">
        <w:rPr>
          <w:rFonts w:ascii="Georgia" w:eastAsia="Georgia" w:hAnsi="Georgia" w:cs="Georgia"/>
          <w:sz w:val="21"/>
          <w:szCs w:val="21"/>
        </w:rPr>
        <w:t>.</w:t>
      </w:r>
    </w:p>
    <w:p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FIN —</w:t>
      </w:r>
    </w:p>
    <w:p w:rsidR="00F25A0D" w:rsidRPr="006A69FE" w:rsidRDefault="00F25A0D" w:rsidP="00F25A0D">
      <w:pPr>
        <w:tabs>
          <w:tab w:val="left" w:pos="1055"/>
          <w:tab w:val="left" w:pos="4111"/>
          <w:tab w:val="left" w:pos="5812"/>
          <w:tab w:val="left" w:pos="7371"/>
        </w:tabs>
        <w:spacing w:line="276" w:lineRule="auto"/>
        <w:jc w:val="center"/>
        <w:rPr>
          <w:rFonts w:ascii="Georgia" w:hAnsi="Georgia" w:cs="Georgia"/>
          <w:sz w:val="21"/>
          <w:szCs w:val="21"/>
        </w:rPr>
      </w:pPr>
    </w:p>
    <w:p w:rsidR="00C817B9" w:rsidRPr="006A69FE" w:rsidRDefault="00C817B9" w:rsidP="00C817B9">
      <w:pPr>
        <w:spacing w:line="276" w:lineRule="auto"/>
        <w:outlineLvl w:val="0"/>
        <w:rPr>
          <w:rFonts w:ascii="Verdana" w:eastAsia="Verdana" w:hAnsi="Verdana" w:cs="Verdana"/>
          <w:b/>
          <w:bCs/>
          <w:color w:val="41525C"/>
          <w:sz w:val="18"/>
          <w:szCs w:val="18"/>
        </w:rPr>
      </w:pPr>
      <w:r w:rsidRPr="0ED4D633">
        <w:rPr>
          <w:rFonts w:ascii="Verdana" w:hAnsi="Verdana"/>
          <w:color w:val="ED1C2A"/>
          <w:sz w:val="18"/>
          <w:szCs w:val="18"/>
        </w:rPr>
        <w:t>CONTACT</w:t>
      </w:r>
    </w:p>
    <w:p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Dominique Leullier</w:t>
      </w:r>
    </w:p>
    <w:p w:rsidR="00C817B9" w:rsidRPr="002226B4" w:rsidRDefault="5E878C62" w:rsidP="0ED4D633">
      <w:pPr>
        <w:tabs>
          <w:tab w:val="left" w:pos="3969"/>
        </w:tabs>
        <w:spacing w:line="259" w:lineRule="auto"/>
        <w:rPr>
          <w:rFonts w:ascii="Verdana" w:eastAsia="Verdana" w:hAnsi="Verdana" w:cs="Verdana"/>
          <w:color w:val="41525C"/>
          <w:sz w:val="18"/>
          <w:szCs w:val="18"/>
        </w:rPr>
      </w:pPr>
      <w:r w:rsidRPr="0ED4D633">
        <w:rPr>
          <w:rFonts w:ascii="Verdana" w:eastAsia="Verdana" w:hAnsi="Verdana" w:cs="Verdana"/>
          <w:b/>
          <w:bCs/>
          <w:color w:val="41525C"/>
          <w:sz w:val="18"/>
          <w:szCs w:val="18"/>
        </w:rPr>
        <w:t>Directeur Marketing Europe</w:t>
      </w:r>
    </w:p>
    <w:p w:rsidR="00F25A0D" w:rsidRPr="00B062E7"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Manitowoc</w:t>
      </w:r>
    </w:p>
    <w:p w:rsidR="00F25A0D" w:rsidRPr="00B062E7" w:rsidRDefault="5E878C62" w:rsidP="0ED4D633">
      <w:pPr>
        <w:tabs>
          <w:tab w:val="left" w:pos="3969"/>
        </w:tabs>
        <w:spacing w:line="276" w:lineRule="auto"/>
        <w:rPr>
          <w:rFonts w:ascii="Verdana" w:eastAsia="Verdana" w:hAnsi="Verdana" w:cs="Verdana"/>
          <w:color w:val="41525C"/>
          <w:sz w:val="18"/>
          <w:szCs w:val="18"/>
          <w:lang w:val="en-GB"/>
        </w:rPr>
      </w:pPr>
      <w:r w:rsidRPr="0ED4D633">
        <w:rPr>
          <w:rFonts w:ascii="Verdana" w:eastAsia="Verdana" w:hAnsi="Verdana" w:cs="Verdana"/>
          <w:color w:val="41525C"/>
          <w:sz w:val="18"/>
          <w:szCs w:val="18"/>
          <w:lang w:val="en-GB"/>
        </w:rPr>
        <w:t>+33 4 72 18 21 60</w:t>
      </w:r>
    </w:p>
    <w:p w:rsidR="00F25A0D" w:rsidRPr="00B062E7" w:rsidRDefault="0066674F" w:rsidP="0ED4D633">
      <w:pPr>
        <w:tabs>
          <w:tab w:val="left" w:pos="3969"/>
        </w:tabs>
        <w:spacing w:line="276" w:lineRule="auto"/>
        <w:rPr>
          <w:rFonts w:ascii="Verdana" w:eastAsia="Verdana" w:hAnsi="Verdana" w:cs="Verdana"/>
          <w:color w:val="41525C"/>
          <w:sz w:val="18"/>
          <w:szCs w:val="18"/>
          <w:lang w:val="en-GB"/>
        </w:rPr>
      </w:pPr>
      <w:hyperlink r:id="rId12">
        <w:r w:rsidR="5E878C62" w:rsidRPr="0ED4D633">
          <w:rPr>
            <w:rStyle w:val="Hyperlink"/>
            <w:rFonts w:ascii="Verdana" w:eastAsia="Verdana" w:hAnsi="Verdana" w:cs="Verdana"/>
            <w:sz w:val="18"/>
            <w:szCs w:val="18"/>
            <w:lang w:val="en-GB"/>
          </w:rPr>
          <w:t>dominique.leullier@manitowoc.com</w:t>
        </w:r>
      </w:hyperlink>
    </w:p>
    <w:p w:rsidR="00F25A0D" w:rsidRPr="00B062E7" w:rsidRDefault="00F25A0D" w:rsidP="0ED4D633">
      <w:pPr>
        <w:tabs>
          <w:tab w:val="left" w:pos="1055"/>
          <w:tab w:val="left" w:pos="3969"/>
          <w:tab w:val="left" w:pos="6379"/>
          <w:tab w:val="left" w:pos="7371"/>
        </w:tabs>
        <w:spacing w:line="276" w:lineRule="auto"/>
        <w:rPr>
          <w:rFonts w:ascii="Verdana" w:hAnsi="Verdana"/>
          <w:sz w:val="18"/>
          <w:szCs w:val="18"/>
          <w:lang w:val="en-GB"/>
        </w:rPr>
      </w:pPr>
    </w:p>
    <w:p w:rsidR="00F25A0D" w:rsidRPr="00B062E7" w:rsidRDefault="00F25A0D" w:rsidP="00F25A0D">
      <w:pPr>
        <w:rPr>
          <w:rFonts w:ascii="Verdana" w:eastAsia="Verdana" w:hAnsi="Verdana" w:cs="Verdana"/>
          <w:color w:val="FF0000"/>
          <w:sz w:val="18"/>
          <w:szCs w:val="18"/>
          <w:lang w:val="en-GB"/>
        </w:rPr>
      </w:pPr>
    </w:p>
    <w:p w:rsidR="00F25A0D" w:rsidRPr="00B062E7" w:rsidRDefault="00F25A0D" w:rsidP="00F25A0D">
      <w:pPr>
        <w:widowControl w:val="0"/>
        <w:autoSpaceDE w:val="0"/>
        <w:autoSpaceDN w:val="0"/>
        <w:adjustRightInd w:val="0"/>
        <w:rPr>
          <w:rFonts w:ascii="Verdana" w:eastAsia="Verdana" w:hAnsi="Verdana" w:cs="Verdana"/>
          <w:color w:val="FF0000"/>
          <w:sz w:val="18"/>
          <w:szCs w:val="18"/>
          <w:lang w:val="en-GB"/>
        </w:rPr>
      </w:pPr>
      <w:r w:rsidRPr="00B062E7">
        <w:rPr>
          <w:rFonts w:ascii="Verdana" w:hAnsi="Verdana"/>
          <w:color w:val="FF0000"/>
          <w:sz w:val="18"/>
          <w:szCs w:val="18"/>
          <w:lang w:val="en-GB"/>
        </w:rPr>
        <w:t>À PROPOS DE THE MANITOWOC COMPANY, INC.</w:t>
      </w:r>
    </w:p>
    <w:p w:rsidR="00F25A0D" w:rsidRDefault="00F25A0D" w:rsidP="00F25A0D">
      <w:pPr>
        <w:spacing w:line="276" w:lineRule="auto"/>
        <w:rPr>
          <w:rFonts w:ascii="Verdana" w:eastAsia="Verdana" w:hAnsi="Verdana" w:cs="Verdana"/>
          <w:color w:val="41525C"/>
          <w:sz w:val="18"/>
          <w:szCs w:val="18"/>
        </w:rPr>
      </w:pPr>
      <w:r w:rsidRPr="38F02ADD">
        <w:rPr>
          <w:rFonts w:ascii="Verdana" w:hAnsi="Verdana"/>
          <w:color w:val="41525C"/>
          <w:sz w:val="18"/>
          <w:szCs w:val="18"/>
        </w:rPr>
        <w:t>The Manitowoc Company, Inc. a été fondée en 1902. Depuis plus de 1</w:t>
      </w:r>
      <w:r w:rsidR="00DA6BFA" w:rsidRPr="38F02ADD">
        <w:rPr>
          <w:rFonts w:ascii="Verdana" w:hAnsi="Verdana"/>
          <w:color w:val="41525C"/>
          <w:sz w:val="18"/>
          <w:szCs w:val="18"/>
        </w:rPr>
        <w:t>20</w:t>
      </w:r>
      <w:r w:rsidRPr="38F02ADD">
        <w:rPr>
          <w:rFonts w:ascii="Verdana" w:hAnsi="Verdana"/>
          <w:color w:val="41525C"/>
          <w:sz w:val="18"/>
          <w:szCs w:val="18"/>
        </w:rPr>
        <w:t>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et soutient des gammes complètes de grues hydrauliques mobiles, de grues sur chenilles à flèche en treillis, de camions à flèche et de grues à tour, sous les marques Aspen Equipment, Grove, Manitowoc, MGX Equipment Services, National Crane, Potain</w:t>
      </w:r>
      <w:r w:rsidR="3DE251E7" w:rsidRPr="38F02ADD">
        <w:rPr>
          <w:rFonts w:ascii="Verdana" w:hAnsi="Verdana"/>
          <w:color w:val="41525C"/>
          <w:sz w:val="18"/>
          <w:szCs w:val="18"/>
        </w:rPr>
        <w:t>,</w:t>
      </w:r>
      <w:r w:rsidRPr="38F02ADD">
        <w:rPr>
          <w:rFonts w:ascii="Verdana" w:hAnsi="Verdana"/>
          <w:color w:val="41525C"/>
          <w:sz w:val="18"/>
          <w:szCs w:val="18"/>
        </w:rPr>
        <w:t xml:space="preserve"> et </w:t>
      </w:r>
      <w:proofErr w:type="spellStart"/>
      <w:r w:rsidRPr="38F02ADD">
        <w:rPr>
          <w:rFonts w:ascii="Verdana" w:hAnsi="Verdana"/>
          <w:color w:val="41525C"/>
          <w:sz w:val="18"/>
          <w:szCs w:val="18"/>
        </w:rPr>
        <w:t>Shuttlelift</w:t>
      </w:r>
      <w:proofErr w:type="spellEnd"/>
      <w:r w:rsidRPr="38F02ADD">
        <w:rPr>
          <w:rFonts w:ascii="Verdana" w:hAnsi="Verdana"/>
          <w:color w:val="41525C"/>
          <w:sz w:val="18"/>
          <w:szCs w:val="18"/>
        </w:rPr>
        <w:t>.</w:t>
      </w:r>
    </w:p>
    <w:p w:rsidR="00F25A0D" w:rsidRPr="00A678F4" w:rsidRDefault="00F25A0D" w:rsidP="00F25A0D">
      <w:pPr>
        <w:spacing w:line="276" w:lineRule="auto"/>
        <w:rPr>
          <w:rFonts w:ascii="Verdana" w:eastAsia="Verdana" w:hAnsi="Verdana" w:cs="Verdana"/>
          <w:color w:val="41525C"/>
          <w:sz w:val="18"/>
          <w:szCs w:val="18"/>
        </w:rPr>
      </w:pPr>
    </w:p>
    <w:p w:rsidR="00F25A0D" w:rsidRPr="008747BC" w:rsidRDefault="00F25A0D" w:rsidP="00F25A0D">
      <w:pPr>
        <w:spacing w:line="276" w:lineRule="auto"/>
        <w:rPr>
          <w:rFonts w:ascii="Verdana" w:eastAsia="Verdana" w:hAnsi="Verdana" w:cs="Verdana"/>
          <w:sz w:val="18"/>
          <w:szCs w:val="18"/>
          <w:lang w:val="en-US"/>
        </w:rPr>
      </w:pPr>
      <w:r w:rsidRPr="008747BC">
        <w:rPr>
          <w:rFonts w:ascii="Verdana" w:hAnsi="Verdana"/>
          <w:color w:val="ED1C2A"/>
          <w:sz w:val="18"/>
          <w:szCs w:val="18"/>
          <w:lang w:val="en-US"/>
        </w:rPr>
        <w:t>THE MANITOWOC COMPANY, INC.</w:t>
      </w:r>
    </w:p>
    <w:p w:rsidR="00F25A0D" w:rsidRPr="008747BC" w:rsidRDefault="00F25A0D" w:rsidP="00F25A0D">
      <w:pPr>
        <w:spacing w:line="276" w:lineRule="auto"/>
        <w:rPr>
          <w:rFonts w:ascii="Verdana" w:eastAsia="Verdana" w:hAnsi="Verdana" w:cs="Verdana"/>
          <w:color w:val="41525C"/>
          <w:sz w:val="18"/>
          <w:szCs w:val="18"/>
          <w:lang w:val="en-US"/>
        </w:rPr>
      </w:pPr>
      <w:r w:rsidRPr="008747BC">
        <w:rPr>
          <w:rFonts w:ascii="Verdana" w:hAnsi="Verdana"/>
          <w:color w:val="41525C"/>
          <w:sz w:val="18"/>
          <w:szCs w:val="18"/>
          <w:lang w:val="en-US"/>
        </w:rPr>
        <w:lastRenderedPageBreak/>
        <w:t xml:space="preserve">One Park Plaza – 11270 West Park Place – Suite 1000 – Milwaukee, WI 53224, </w:t>
      </w:r>
      <w:proofErr w:type="spellStart"/>
      <w:r w:rsidRPr="008747BC">
        <w:rPr>
          <w:rFonts w:ascii="Verdana" w:hAnsi="Verdana"/>
          <w:color w:val="41525C"/>
          <w:sz w:val="18"/>
          <w:szCs w:val="18"/>
          <w:lang w:val="en-US"/>
        </w:rPr>
        <w:t>États-Unis</w:t>
      </w:r>
      <w:proofErr w:type="spellEnd"/>
    </w:p>
    <w:p w:rsidR="00F25A0D" w:rsidRPr="00057864" w:rsidRDefault="00F25A0D" w:rsidP="00F25A0D">
      <w:pPr>
        <w:spacing w:line="276" w:lineRule="auto"/>
        <w:rPr>
          <w:rFonts w:ascii="Verdana" w:eastAsia="Verdana" w:hAnsi="Verdana" w:cs="Verdana"/>
          <w:sz w:val="18"/>
          <w:szCs w:val="18"/>
        </w:rPr>
      </w:pPr>
      <w:r>
        <w:rPr>
          <w:rFonts w:ascii="Verdana" w:hAnsi="Verdana"/>
          <w:color w:val="41525C"/>
          <w:sz w:val="18"/>
          <w:szCs w:val="18"/>
        </w:rPr>
        <w:t>T +1 414 760 4600</w:t>
      </w:r>
    </w:p>
    <w:p w:rsidR="00F25A0D" w:rsidRDefault="0066674F" w:rsidP="00F25A0D">
      <w:pPr>
        <w:spacing w:line="276" w:lineRule="auto"/>
        <w:rPr>
          <w:rStyle w:val="Hyperlink"/>
          <w:rFonts w:ascii="Verdana" w:eastAsia="Verdana" w:hAnsi="Verdana" w:cs="Verdana"/>
          <w:b/>
          <w:bCs/>
          <w:color w:val="41525C"/>
          <w:sz w:val="18"/>
          <w:szCs w:val="18"/>
        </w:rPr>
      </w:pPr>
      <w:hyperlink r:id="rId13" w:history="1">
        <w:r w:rsidR="00BB5B78">
          <w:rPr>
            <w:rStyle w:val="Hyperlink"/>
            <w:rFonts w:ascii="Verdana" w:hAnsi="Verdana"/>
            <w:b/>
            <w:bCs/>
            <w:color w:val="41525C"/>
            <w:sz w:val="18"/>
            <w:szCs w:val="18"/>
          </w:rPr>
          <w:t>www.manitowoc.com</w:t>
        </w:r>
      </w:hyperlink>
    </w:p>
    <w:sectPr w:rsidR="00F25A0D" w:rsidSect="009E5B58">
      <w:headerReference w:type="default" r:id="rId14"/>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2B2" w:rsidRDefault="003932B2" w:rsidP="00F25A0D">
      <w:r>
        <w:separator/>
      </w:r>
    </w:p>
  </w:endnote>
  <w:endnote w:type="continuationSeparator" w:id="0">
    <w:p w:rsidR="003932B2" w:rsidRDefault="003932B2" w:rsidP="00F25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2B2" w:rsidRDefault="003932B2" w:rsidP="00F25A0D">
      <w:r>
        <w:separator/>
      </w:r>
    </w:p>
  </w:footnote>
  <w:footnote w:type="continuationSeparator" w:id="0">
    <w:p w:rsidR="003932B2" w:rsidRDefault="003932B2" w:rsidP="00F25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3B" w:rsidRDefault="00B56F3B" w:rsidP="00B56F3B">
    <w:pPr>
      <w:spacing w:line="257" w:lineRule="auto"/>
      <w:rPr>
        <w:rFonts w:ascii="Georgia" w:hAnsi="Georgia"/>
        <w:b/>
        <w:bCs/>
        <w:sz w:val="28"/>
        <w:szCs w:val="28"/>
      </w:rPr>
    </w:pPr>
    <w:r w:rsidRPr="00B56F3B">
      <w:rPr>
        <w:rFonts w:ascii="Verdana" w:hAnsi="Verdana"/>
        <w:b/>
        <w:color w:val="41525C"/>
        <w:sz w:val="18"/>
        <w:szCs w:val="18"/>
      </w:rPr>
      <w:t>Les grues à flèche relevable Potain MR 295 atteignent de nouveaux sommets</w:t>
    </w:r>
    <w:r>
      <w:rPr>
        <w:rFonts w:ascii="Verdana" w:hAnsi="Verdana"/>
        <w:b/>
        <w:color w:val="41525C"/>
        <w:sz w:val="18"/>
        <w:szCs w:val="18"/>
      </w:rPr>
      <w:t xml:space="preserve"> </w:t>
    </w:r>
    <w:r w:rsidRPr="00B56F3B">
      <w:rPr>
        <w:rFonts w:ascii="Verdana" w:hAnsi="Verdana"/>
        <w:b/>
        <w:color w:val="41525C"/>
        <w:sz w:val="18"/>
        <w:szCs w:val="18"/>
      </w:rPr>
      <w:t>sur un projet de grande hauteur dans le sud de la France</w:t>
    </w:r>
  </w:p>
  <w:p w:rsidR="00B631D6" w:rsidRPr="00164A29" w:rsidRDefault="00F540D4" w:rsidP="00B56F3B">
    <w:pPr>
      <w:spacing w:line="276" w:lineRule="auto"/>
      <w:jc w:val="right"/>
      <w:rPr>
        <w:rFonts w:ascii="Verdana" w:hAnsi="Verdana"/>
        <w:color w:val="41525C"/>
        <w:sz w:val="18"/>
        <w:szCs w:val="18"/>
      </w:rPr>
    </w:pPr>
    <w:r>
      <w:rPr>
        <w:rFonts w:ascii="Verdana" w:hAnsi="Verdana"/>
        <w:color w:val="41525C"/>
        <w:sz w:val="18"/>
        <w:szCs w:val="18"/>
      </w:rPr>
      <w:t>2</w:t>
    </w:r>
    <w:r w:rsidR="00B062E7">
      <w:rPr>
        <w:rFonts w:ascii="Verdana" w:hAnsi="Verdana"/>
        <w:color w:val="41525C"/>
        <w:sz w:val="18"/>
        <w:szCs w:val="18"/>
      </w:rPr>
      <w:t>1</w:t>
    </w:r>
    <w:r w:rsidR="00032D41">
      <w:rPr>
        <w:rFonts w:ascii="Verdana" w:hAnsi="Verdana"/>
        <w:color w:val="41525C"/>
        <w:sz w:val="18"/>
        <w:szCs w:val="18"/>
      </w:rPr>
      <w:t> </w:t>
    </w:r>
    <w:r w:rsidR="00B56F3B">
      <w:rPr>
        <w:rFonts w:ascii="Verdana" w:hAnsi="Verdana"/>
        <w:color w:val="41525C"/>
        <w:sz w:val="18"/>
        <w:szCs w:val="18"/>
      </w:rPr>
      <w:t>septembre</w:t>
    </w:r>
    <w:r w:rsidR="00032D41">
      <w:rPr>
        <w:rFonts w:ascii="Verdana" w:hAnsi="Verdana"/>
        <w:color w:val="41525C"/>
        <w:sz w:val="18"/>
        <w:szCs w:val="18"/>
      </w:rPr>
      <w:t> 2022</w:t>
    </w:r>
  </w:p>
  <w:p w:rsidR="00B631D6" w:rsidRDefault="00393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01FB0"/>
    <w:multiLevelType w:val="hybridMultilevel"/>
    <w:tmpl w:val="69C4FBC6"/>
    <w:lvl w:ilvl="0" w:tplc="7A9C40C4">
      <w:start w:val="1"/>
      <w:numFmt w:val="bullet"/>
      <w:lvlText w:val="·"/>
      <w:lvlJc w:val="left"/>
      <w:pPr>
        <w:ind w:left="720" w:hanging="360"/>
      </w:pPr>
      <w:rPr>
        <w:rFonts w:ascii="Symbol" w:hAnsi="Symbol" w:hint="default"/>
      </w:rPr>
    </w:lvl>
    <w:lvl w:ilvl="1" w:tplc="1AF0D200">
      <w:start w:val="1"/>
      <w:numFmt w:val="bullet"/>
      <w:lvlText w:val="o"/>
      <w:lvlJc w:val="left"/>
      <w:pPr>
        <w:ind w:left="1440" w:hanging="360"/>
      </w:pPr>
      <w:rPr>
        <w:rFonts w:ascii="Courier New" w:hAnsi="Courier New" w:hint="default"/>
      </w:rPr>
    </w:lvl>
    <w:lvl w:ilvl="2" w:tplc="0A4087DC">
      <w:start w:val="1"/>
      <w:numFmt w:val="bullet"/>
      <w:lvlText w:val=""/>
      <w:lvlJc w:val="left"/>
      <w:pPr>
        <w:ind w:left="2160" w:hanging="360"/>
      </w:pPr>
      <w:rPr>
        <w:rFonts w:ascii="Wingdings" w:hAnsi="Wingdings" w:hint="default"/>
      </w:rPr>
    </w:lvl>
    <w:lvl w:ilvl="3" w:tplc="921CCB5E">
      <w:start w:val="1"/>
      <w:numFmt w:val="bullet"/>
      <w:lvlText w:val=""/>
      <w:lvlJc w:val="left"/>
      <w:pPr>
        <w:ind w:left="2880" w:hanging="360"/>
      </w:pPr>
      <w:rPr>
        <w:rFonts w:ascii="Symbol" w:hAnsi="Symbol" w:hint="default"/>
      </w:rPr>
    </w:lvl>
    <w:lvl w:ilvl="4" w:tplc="8E5AA204">
      <w:start w:val="1"/>
      <w:numFmt w:val="bullet"/>
      <w:lvlText w:val="o"/>
      <w:lvlJc w:val="left"/>
      <w:pPr>
        <w:ind w:left="3600" w:hanging="360"/>
      </w:pPr>
      <w:rPr>
        <w:rFonts w:ascii="Courier New" w:hAnsi="Courier New" w:hint="default"/>
      </w:rPr>
    </w:lvl>
    <w:lvl w:ilvl="5" w:tplc="FA5C3F1E">
      <w:start w:val="1"/>
      <w:numFmt w:val="bullet"/>
      <w:lvlText w:val=""/>
      <w:lvlJc w:val="left"/>
      <w:pPr>
        <w:ind w:left="4320" w:hanging="360"/>
      </w:pPr>
      <w:rPr>
        <w:rFonts w:ascii="Wingdings" w:hAnsi="Wingdings" w:hint="default"/>
      </w:rPr>
    </w:lvl>
    <w:lvl w:ilvl="6" w:tplc="AF3C199C">
      <w:start w:val="1"/>
      <w:numFmt w:val="bullet"/>
      <w:lvlText w:val=""/>
      <w:lvlJc w:val="left"/>
      <w:pPr>
        <w:ind w:left="5040" w:hanging="360"/>
      </w:pPr>
      <w:rPr>
        <w:rFonts w:ascii="Symbol" w:hAnsi="Symbol" w:hint="default"/>
      </w:rPr>
    </w:lvl>
    <w:lvl w:ilvl="7" w:tplc="C9DA4242">
      <w:start w:val="1"/>
      <w:numFmt w:val="bullet"/>
      <w:lvlText w:val="o"/>
      <w:lvlJc w:val="left"/>
      <w:pPr>
        <w:ind w:left="5760" w:hanging="360"/>
      </w:pPr>
      <w:rPr>
        <w:rFonts w:ascii="Courier New" w:hAnsi="Courier New" w:hint="default"/>
      </w:rPr>
    </w:lvl>
    <w:lvl w:ilvl="8" w:tplc="5DE44794">
      <w:start w:val="1"/>
      <w:numFmt w:val="bullet"/>
      <w:lvlText w:val=""/>
      <w:lvlJc w:val="left"/>
      <w:pPr>
        <w:ind w:left="6480" w:hanging="360"/>
      </w:pPr>
      <w:rPr>
        <w:rFonts w:ascii="Wingdings" w:hAnsi="Wingdings" w:hint="default"/>
      </w:rPr>
    </w:lvl>
  </w:abstractNum>
  <w:abstractNum w:abstractNumId="1">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tDQ2MDGyMDMzMjO2NDFV0lEKTi0uzszPAykwrAUALrXzQCwAAAA="/>
    <w:docVar w:name="APWAFVersion" w:val="5.0"/>
  </w:docVars>
  <w:rsids>
    <w:rsidRoot w:val="00B144F0"/>
    <w:rsid w:val="00006AF4"/>
    <w:rsid w:val="000130DE"/>
    <w:rsid w:val="00021FCD"/>
    <w:rsid w:val="00026CF6"/>
    <w:rsid w:val="00032D41"/>
    <w:rsid w:val="0005574B"/>
    <w:rsid w:val="000B1A13"/>
    <w:rsid w:val="000B265F"/>
    <w:rsid w:val="000C193B"/>
    <w:rsid w:val="000D1DC1"/>
    <w:rsid w:val="000D5CE1"/>
    <w:rsid w:val="00134C75"/>
    <w:rsid w:val="00162EA6"/>
    <w:rsid w:val="0018044B"/>
    <w:rsid w:val="0018393C"/>
    <w:rsid w:val="001A04BA"/>
    <w:rsid w:val="001A04D7"/>
    <w:rsid w:val="001A0657"/>
    <w:rsid w:val="001A7446"/>
    <w:rsid w:val="001A7960"/>
    <w:rsid w:val="001B0413"/>
    <w:rsid w:val="001C227E"/>
    <w:rsid w:val="001C6283"/>
    <w:rsid w:val="001C65FA"/>
    <w:rsid w:val="001E0623"/>
    <w:rsid w:val="002060FE"/>
    <w:rsid w:val="002226B4"/>
    <w:rsid w:val="00240E84"/>
    <w:rsid w:val="0025630A"/>
    <w:rsid w:val="00257D1D"/>
    <w:rsid w:val="00283F29"/>
    <w:rsid w:val="0028606F"/>
    <w:rsid w:val="00291E01"/>
    <w:rsid w:val="002A5DAC"/>
    <w:rsid w:val="002A7D40"/>
    <w:rsid w:val="002B10A7"/>
    <w:rsid w:val="002B117C"/>
    <w:rsid w:val="002B58D4"/>
    <w:rsid w:val="002C5F0D"/>
    <w:rsid w:val="002D2C66"/>
    <w:rsid w:val="002D672C"/>
    <w:rsid w:val="00301240"/>
    <w:rsid w:val="00305AD0"/>
    <w:rsid w:val="00315A09"/>
    <w:rsid w:val="003351B6"/>
    <w:rsid w:val="0036083B"/>
    <w:rsid w:val="00375252"/>
    <w:rsid w:val="003850B3"/>
    <w:rsid w:val="003932B2"/>
    <w:rsid w:val="003B3523"/>
    <w:rsid w:val="003B54E5"/>
    <w:rsid w:val="00414769"/>
    <w:rsid w:val="004152E2"/>
    <w:rsid w:val="00453CFF"/>
    <w:rsid w:val="00470657"/>
    <w:rsid w:val="00472B22"/>
    <w:rsid w:val="00484AB1"/>
    <w:rsid w:val="00493FC0"/>
    <w:rsid w:val="004A61C3"/>
    <w:rsid w:val="004A6ED8"/>
    <w:rsid w:val="004C3209"/>
    <w:rsid w:val="004F3444"/>
    <w:rsid w:val="00553C8E"/>
    <w:rsid w:val="00573431"/>
    <w:rsid w:val="005A7812"/>
    <w:rsid w:val="005C43DC"/>
    <w:rsid w:val="005D38D6"/>
    <w:rsid w:val="005D4994"/>
    <w:rsid w:val="005E1B60"/>
    <w:rsid w:val="005F0C97"/>
    <w:rsid w:val="006074C6"/>
    <w:rsid w:val="00610B47"/>
    <w:rsid w:val="00631AF9"/>
    <w:rsid w:val="00646B5E"/>
    <w:rsid w:val="00654D72"/>
    <w:rsid w:val="006555EA"/>
    <w:rsid w:val="00660166"/>
    <w:rsid w:val="0066614D"/>
    <w:rsid w:val="0066674F"/>
    <w:rsid w:val="006828B2"/>
    <w:rsid w:val="006916BA"/>
    <w:rsid w:val="00695FAB"/>
    <w:rsid w:val="006C23CC"/>
    <w:rsid w:val="006D6258"/>
    <w:rsid w:val="006F34E0"/>
    <w:rsid w:val="0071521E"/>
    <w:rsid w:val="00731059"/>
    <w:rsid w:val="0074308A"/>
    <w:rsid w:val="00760280"/>
    <w:rsid w:val="007B4EE1"/>
    <w:rsid w:val="007C377A"/>
    <w:rsid w:val="007C5928"/>
    <w:rsid w:val="00821FE2"/>
    <w:rsid w:val="00843064"/>
    <w:rsid w:val="008508B2"/>
    <w:rsid w:val="008723F4"/>
    <w:rsid w:val="008747BC"/>
    <w:rsid w:val="008753A8"/>
    <w:rsid w:val="008850F9"/>
    <w:rsid w:val="00895417"/>
    <w:rsid w:val="008A0515"/>
    <w:rsid w:val="008B135A"/>
    <w:rsid w:val="008C0388"/>
    <w:rsid w:val="008D0E09"/>
    <w:rsid w:val="008F0D06"/>
    <w:rsid w:val="00912ABD"/>
    <w:rsid w:val="00946F96"/>
    <w:rsid w:val="00982144"/>
    <w:rsid w:val="00984C56"/>
    <w:rsid w:val="00987E6B"/>
    <w:rsid w:val="0099458C"/>
    <w:rsid w:val="009C2D12"/>
    <w:rsid w:val="009D43BF"/>
    <w:rsid w:val="00A058DF"/>
    <w:rsid w:val="00A32D19"/>
    <w:rsid w:val="00A40614"/>
    <w:rsid w:val="00A430DE"/>
    <w:rsid w:val="00A45B2E"/>
    <w:rsid w:val="00A61B60"/>
    <w:rsid w:val="00A664B1"/>
    <w:rsid w:val="00A7735D"/>
    <w:rsid w:val="00A9450F"/>
    <w:rsid w:val="00A96F3F"/>
    <w:rsid w:val="00A97873"/>
    <w:rsid w:val="00AA3FA3"/>
    <w:rsid w:val="00AC2EC1"/>
    <w:rsid w:val="00AC3013"/>
    <w:rsid w:val="00AC4AEE"/>
    <w:rsid w:val="00AC7C4E"/>
    <w:rsid w:val="00AD5B29"/>
    <w:rsid w:val="00B0520B"/>
    <w:rsid w:val="00B062E7"/>
    <w:rsid w:val="00B144F0"/>
    <w:rsid w:val="00B26B57"/>
    <w:rsid w:val="00B35619"/>
    <w:rsid w:val="00B45786"/>
    <w:rsid w:val="00B56F3B"/>
    <w:rsid w:val="00B57945"/>
    <w:rsid w:val="00B728F0"/>
    <w:rsid w:val="00B75B99"/>
    <w:rsid w:val="00BB5B78"/>
    <w:rsid w:val="00BC6E3D"/>
    <w:rsid w:val="00BD3C29"/>
    <w:rsid w:val="00BD616A"/>
    <w:rsid w:val="00C024CD"/>
    <w:rsid w:val="00C02562"/>
    <w:rsid w:val="00C03A51"/>
    <w:rsid w:val="00C24BA1"/>
    <w:rsid w:val="00C817B9"/>
    <w:rsid w:val="00C87A7B"/>
    <w:rsid w:val="00CA1D5B"/>
    <w:rsid w:val="00CB64A0"/>
    <w:rsid w:val="00CD291A"/>
    <w:rsid w:val="00CE5718"/>
    <w:rsid w:val="00D10ADC"/>
    <w:rsid w:val="00D14D4A"/>
    <w:rsid w:val="00D21064"/>
    <w:rsid w:val="00D60399"/>
    <w:rsid w:val="00D802BA"/>
    <w:rsid w:val="00D93C95"/>
    <w:rsid w:val="00D963FB"/>
    <w:rsid w:val="00DA6BFA"/>
    <w:rsid w:val="00DB31E6"/>
    <w:rsid w:val="00DB5711"/>
    <w:rsid w:val="00DC60AB"/>
    <w:rsid w:val="00DD6651"/>
    <w:rsid w:val="00E0791D"/>
    <w:rsid w:val="00E3266B"/>
    <w:rsid w:val="00E4138D"/>
    <w:rsid w:val="00E4499B"/>
    <w:rsid w:val="00E478FE"/>
    <w:rsid w:val="00E63492"/>
    <w:rsid w:val="00E70CB6"/>
    <w:rsid w:val="00E876BA"/>
    <w:rsid w:val="00E91ED3"/>
    <w:rsid w:val="00E95134"/>
    <w:rsid w:val="00EA2441"/>
    <w:rsid w:val="00EB4ADE"/>
    <w:rsid w:val="00EB5D3C"/>
    <w:rsid w:val="00EC4CD4"/>
    <w:rsid w:val="00EF43CA"/>
    <w:rsid w:val="00F0099A"/>
    <w:rsid w:val="00F03D28"/>
    <w:rsid w:val="00F25A0D"/>
    <w:rsid w:val="00F32069"/>
    <w:rsid w:val="00F52A9A"/>
    <w:rsid w:val="00F540D4"/>
    <w:rsid w:val="00F816FB"/>
    <w:rsid w:val="00FA337E"/>
    <w:rsid w:val="00FA7F17"/>
    <w:rsid w:val="00FB4C1F"/>
    <w:rsid w:val="00FC0882"/>
    <w:rsid w:val="00FE06E9"/>
    <w:rsid w:val="00FF5547"/>
    <w:rsid w:val="09B321F0"/>
    <w:rsid w:val="09DB8CE6"/>
    <w:rsid w:val="0ED4D633"/>
    <w:rsid w:val="12B1F6C8"/>
    <w:rsid w:val="145D09C2"/>
    <w:rsid w:val="1AAB9B05"/>
    <w:rsid w:val="1F338974"/>
    <w:rsid w:val="1F76BCB0"/>
    <w:rsid w:val="214C76EE"/>
    <w:rsid w:val="29792BD7"/>
    <w:rsid w:val="2D201548"/>
    <w:rsid w:val="2E33DA76"/>
    <w:rsid w:val="31A21B98"/>
    <w:rsid w:val="35A7B3EB"/>
    <w:rsid w:val="35CE8B4A"/>
    <w:rsid w:val="38F02ADD"/>
    <w:rsid w:val="3A375D0F"/>
    <w:rsid w:val="3B88105E"/>
    <w:rsid w:val="3DE251E7"/>
    <w:rsid w:val="3EB9F0BF"/>
    <w:rsid w:val="3ED08535"/>
    <w:rsid w:val="43415A8F"/>
    <w:rsid w:val="49EED04A"/>
    <w:rsid w:val="4EAB71B6"/>
    <w:rsid w:val="4F6CA781"/>
    <w:rsid w:val="52A44843"/>
    <w:rsid w:val="555E4868"/>
    <w:rsid w:val="57856868"/>
    <w:rsid w:val="58069E77"/>
    <w:rsid w:val="5E878C62"/>
    <w:rsid w:val="6677A48F"/>
    <w:rsid w:val="720F5A0C"/>
    <w:rsid w:val="7C810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0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0D"/>
    <w:pPr>
      <w:tabs>
        <w:tab w:val="center" w:pos="4680"/>
        <w:tab w:val="right" w:pos="9360"/>
      </w:tabs>
    </w:pPr>
  </w:style>
  <w:style w:type="character" w:customStyle="1" w:styleId="HeaderChar">
    <w:name w:val="Header Char"/>
    <w:basedOn w:val="DefaultParagraphFont"/>
    <w:link w:val="Header"/>
    <w:uiPriority w:val="99"/>
    <w:rsid w:val="00F25A0D"/>
  </w:style>
  <w:style w:type="paragraph" w:styleId="Footer">
    <w:name w:val="footer"/>
    <w:basedOn w:val="Normal"/>
    <w:link w:val="FooterChar"/>
    <w:unhideWhenUsed/>
    <w:rsid w:val="00F25A0D"/>
    <w:pPr>
      <w:tabs>
        <w:tab w:val="center" w:pos="4680"/>
        <w:tab w:val="right" w:pos="9360"/>
      </w:tabs>
    </w:pPr>
  </w:style>
  <w:style w:type="character" w:customStyle="1" w:styleId="FooterChar">
    <w:name w:val="Footer Char"/>
    <w:basedOn w:val="DefaultParagraphFont"/>
    <w:link w:val="Footer"/>
    <w:rsid w:val="00F25A0D"/>
  </w:style>
  <w:style w:type="character" w:styleId="Hyperlink">
    <w:name w:val="Hyperlink"/>
    <w:basedOn w:val="DefaultParagraphFont"/>
    <w:rsid w:val="00F25A0D"/>
    <w:rPr>
      <w:rFonts w:cs="Times New Roman"/>
      <w:color w:val="0000FF"/>
      <w:u w:val="single"/>
    </w:rPr>
  </w:style>
  <w:style w:type="paragraph" w:styleId="ListParagraph">
    <w:name w:val="List Paragraph"/>
    <w:basedOn w:val="Normal"/>
    <w:uiPriority w:val="34"/>
    <w:qFormat/>
    <w:rsid w:val="00F25A0D"/>
    <w:pPr>
      <w:ind w:left="720"/>
    </w:pPr>
    <w:rPr>
      <w:rFonts w:eastAsiaTheme="minorHAnsi"/>
      <w:lang w:eastAsia="en-GB"/>
    </w:rPr>
  </w:style>
  <w:style w:type="character" w:customStyle="1" w:styleId="UnresolvedMention">
    <w:name w:val="Unresolved Mention"/>
    <w:basedOn w:val="DefaultParagraphFont"/>
    <w:uiPriority w:val="99"/>
    <w:semiHidden/>
    <w:unhideWhenUsed/>
    <w:rsid w:val="0099458C"/>
    <w:rPr>
      <w:color w:val="605E5C"/>
      <w:shd w:val="clear" w:color="auto" w:fill="E1DFDD"/>
    </w:rPr>
  </w:style>
  <w:style w:type="paragraph" w:styleId="Revision">
    <w:name w:val="Revision"/>
    <w:hidden/>
    <w:uiPriority w:val="99"/>
    <w:semiHidden/>
    <w:rsid w:val="00984C56"/>
    <w:pPr>
      <w:spacing w:after="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573431"/>
    <w:rPr>
      <w:color w:val="954F72" w:themeColor="followedHyperlink"/>
      <w:u w:val="single"/>
    </w:rPr>
  </w:style>
  <w:style w:type="character" w:styleId="CommentReference">
    <w:name w:val="annotation reference"/>
    <w:basedOn w:val="DefaultParagraphFont"/>
    <w:uiPriority w:val="99"/>
    <w:semiHidden/>
    <w:unhideWhenUsed/>
    <w:rsid w:val="00A40614"/>
    <w:rPr>
      <w:sz w:val="16"/>
      <w:szCs w:val="16"/>
    </w:rPr>
  </w:style>
  <w:style w:type="paragraph" w:styleId="CommentText">
    <w:name w:val="annotation text"/>
    <w:basedOn w:val="Normal"/>
    <w:link w:val="CommentTextChar"/>
    <w:uiPriority w:val="99"/>
    <w:unhideWhenUsed/>
    <w:rsid w:val="00A40614"/>
    <w:rPr>
      <w:sz w:val="20"/>
      <w:szCs w:val="20"/>
    </w:rPr>
  </w:style>
  <w:style w:type="character" w:customStyle="1" w:styleId="CommentTextChar">
    <w:name w:val="Comment Text Char"/>
    <w:basedOn w:val="DefaultParagraphFont"/>
    <w:link w:val="CommentText"/>
    <w:uiPriority w:val="99"/>
    <w:rsid w:val="00A406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0614"/>
    <w:rPr>
      <w:b/>
      <w:bCs/>
    </w:rPr>
  </w:style>
  <w:style w:type="character" w:customStyle="1" w:styleId="CommentSubjectChar">
    <w:name w:val="Comment Subject Char"/>
    <w:basedOn w:val="CommentTextChar"/>
    <w:link w:val="CommentSubject"/>
    <w:uiPriority w:val="99"/>
    <w:semiHidden/>
    <w:rsid w:val="00A40614"/>
    <w:rPr>
      <w:rFonts w:ascii="Times New Roman" w:eastAsia="Times New Roman" w:hAnsi="Times New Roman"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fr/potain/grues-montage-par-elements/mr-295-h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34BF8-07A5-4A94-9550-E331E3C8F95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36304AA9-C5BC-4D05-9E4E-338EFA3AA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E8A67-073E-4AC6-8D3D-6CD9385F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Shen</dc:creator>
  <cp:keywords/>
  <dc:description/>
  <cp:lastModifiedBy>Dale</cp:lastModifiedBy>
  <cp:revision>14</cp:revision>
  <dcterms:created xsi:type="dcterms:W3CDTF">2022-06-16T06:29:00Z</dcterms:created>
  <dcterms:modified xsi:type="dcterms:W3CDTF">2022-09-14T19:26:00Z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ies>
</file>