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2542" w14:textId="77777777" w:rsidR="0092578F"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s-ES" w:eastAsia="es-ES"/>
        </w:rPr>
        <w:drawing>
          <wp:anchor distT="0" distB="0" distL="114300" distR="114300" simplePos="0" relativeHeight="251658240" behindDoc="0" locked="0" layoutInCell="1" allowOverlap="1" wp14:anchorId="5E548235" wp14:editId="6B1420E4">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t xml:space="preserve"> </w:t>
      </w:r>
      <w:r>
        <w:rPr>
          <w:rFonts w:ascii="Verdana" w:hAnsi="Verdana"/>
          <w:color w:val="ED1C2A"/>
          <w:sz w:val="30"/>
          <w:szCs w:val="30"/>
        </w:rPr>
        <w:t>COMUNICADO DE PRENSA</w:t>
      </w:r>
    </w:p>
    <w:p w14:paraId="535C1E08" w14:textId="33B862F5" w:rsidR="0092578F" w:rsidRPr="00164A29" w:rsidRDefault="00064775" w:rsidP="791F3BE8">
      <w:pPr>
        <w:spacing w:line="276" w:lineRule="auto"/>
        <w:jc w:val="right"/>
        <w:outlineLvl w:val="0"/>
        <w:rPr>
          <w:rFonts w:ascii="Verdana" w:hAnsi="Verdana"/>
          <w:color w:val="41525C"/>
          <w:sz w:val="18"/>
          <w:szCs w:val="18"/>
        </w:rPr>
      </w:pPr>
      <w:r>
        <w:rPr>
          <w:rFonts w:ascii="Verdana" w:hAnsi="Verdana"/>
          <w:color w:val="41525C"/>
          <w:sz w:val="18"/>
          <w:szCs w:val="18"/>
        </w:rPr>
        <w:t>2</w:t>
      </w:r>
      <w:r w:rsidR="00D741BC">
        <w:rPr>
          <w:rFonts w:ascii="Verdana" w:hAnsi="Verdana"/>
          <w:color w:val="41525C"/>
          <w:sz w:val="18"/>
          <w:szCs w:val="18"/>
        </w:rPr>
        <w:t>5</w:t>
      </w:r>
      <w:r>
        <w:rPr>
          <w:rFonts w:ascii="Verdana" w:hAnsi="Verdana"/>
          <w:color w:val="41525C"/>
          <w:sz w:val="18"/>
          <w:szCs w:val="18"/>
        </w:rPr>
        <w:t xml:space="preserve"> de octubre de 2022</w:t>
      </w:r>
    </w:p>
    <w:p w14:paraId="0FF8F692" w14:textId="77777777" w:rsidR="00164A29" w:rsidRDefault="00164A29" w:rsidP="00A44D46">
      <w:pPr>
        <w:spacing w:line="276" w:lineRule="auto"/>
        <w:rPr>
          <w:rFonts w:ascii="Verdana" w:hAnsi="Verdana"/>
          <w:color w:val="ED1C2A"/>
          <w:sz w:val="30"/>
          <w:szCs w:val="30"/>
        </w:rPr>
      </w:pPr>
    </w:p>
    <w:p w14:paraId="5D17F476" w14:textId="77777777" w:rsidR="00506C1D" w:rsidRDefault="00506C1D" w:rsidP="00A44D46">
      <w:pPr>
        <w:tabs>
          <w:tab w:val="left" w:pos="6096"/>
        </w:tabs>
        <w:spacing w:line="276" w:lineRule="auto"/>
        <w:rPr>
          <w:rFonts w:ascii="Verdana" w:hAnsi="Verdana"/>
          <w:color w:val="ED1C2A"/>
          <w:sz w:val="30"/>
          <w:szCs w:val="30"/>
        </w:rPr>
      </w:pPr>
    </w:p>
    <w:p w14:paraId="7B0A4042" w14:textId="4BB08BEE" w:rsidR="00C86B86" w:rsidRPr="001D046B" w:rsidRDefault="00C86B86" w:rsidP="00C86B86">
      <w:pPr>
        <w:spacing w:line="276" w:lineRule="auto"/>
        <w:outlineLvl w:val="0"/>
        <w:rPr>
          <w:rFonts w:ascii="Georgia" w:hAnsi="Georgia"/>
          <w:b/>
          <w:sz w:val="28"/>
          <w:szCs w:val="28"/>
        </w:rPr>
      </w:pPr>
      <w:r>
        <w:rPr>
          <w:rFonts w:ascii="Georgia" w:hAnsi="Georgia"/>
          <w:b/>
          <w:sz w:val="28"/>
          <w:szCs w:val="28"/>
        </w:rPr>
        <w:t>Grove presenta la GMK4070L en bauma 2022 y expande las oportunidades en el mercado para las grúas todo terreno de cuatro ejes</w:t>
      </w:r>
    </w:p>
    <w:p w14:paraId="53502BAC" w14:textId="77777777" w:rsidR="00C86B86" w:rsidRDefault="00C86B86" w:rsidP="00C86B86">
      <w:pPr>
        <w:spacing w:line="276" w:lineRule="auto"/>
        <w:rPr>
          <w:rFonts w:ascii="Georgia" w:hAnsi="Georgia"/>
          <w:sz w:val="21"/>
          <w:szCs w:val="21"/>
        </w:rPr>
      </w:pPr>
    </w:p>
    <w:p w14:paraId="45A83D86" w14:textId="43B91929" w:rsidR="00C86B86" w:rsidRDefault="00BF5B01" w:rsidP="00C86B86">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Exhibida en el stand de Manitowoc en bauma 2022, la grúa de 70 toneladas cuenta con la pluma más larga y las tablas de carga más potentes de su clase</w:t>
      </w:r>
      <w:r w:rsidR="00D741BC">
        <w:rPr>
          <w:rFonts w:ascii="Georgia" w:hAnsi="Georgia"/>
          <w:i/>
          <w:iCs/>
          <w:sz w:val="21"/>
          <w:szCs w:val="21"/>
        </w:rPr>
        <w:t>.</w:t>
      </w:r>
    </w:p>
    <w:p w14:paraId="624D27ED" w14:textId="2F0710AA" w:rsidR="00C86B86" w:rsidRDefault="03CD7FF8" w:rsidP="767388C6">
      <w:pPr>
        <w:pStyle w:val="ListParagraph"/>
        <w:numPr>
          <w:ilvl w:val="0"/>
          <w:numId w:val="3"/>
        </w:numPr>
        <w:spacing w:line="276" w:lineRule="auto"/>
        <w:rPr>
          <w:rFonts w:ascii="Georgia" w:hAnsi="Georgia" w:cs="Georgia"/>
          <w:i/>
          <w:iCs/>
          <w:sz w:val="21"/>
          <w:szCs w:val="21"/>
        </w:rPr>
      </w:pPr>
      <w:r w:rsidRPr="767388C6">
        <w:rPr>
          <w:rFonts w:ascii="Georgia" w:hAnsi="Georgia"/>
          <w:i/>
          <w:iCs/>
          <w:sz w:val="21"/>
          <w:szCs w:val="21"/>
        </w:rPr>
        <w:t>Incluye la innovadora tecnología MAXbase, que hace más simple y más flexible la instalación de los estabilizadores, al tiempo que agiliza y hace más eficiente la configuración</w:t>
      </w:r>
      <w:r w:rsidR="00D741BC">
        <w:rPr>
          <w:rFonts w:ascii="Georgia" w:hAnsi="Georgia"/>
          <w:i/>
          <w:iCs/>
          <w:sz w:val="21"/>
          <w:szCs w:val="21"/>
        </w:rPr>
        <w:t>.</w:t>
      </w:r>
    </w:p>
    <w:p w14:paraId="45019EAA" w14:textId="4EF516C8" w:rsidR="00C86B86" w:rsidRPr="005776A3" w:rsidRDefault="672C9795" w:rsidP="672C9795">
      <w:pPr>
        <w:pStyle w:val="ListParagraph"/>
        <w:numPr>
          <w:ilvl w:val="0"/>
          <w:numId w:val="3"/>
        </w:numPr>
        <w:spacing w:line="276" w:lineRule="auto"/>
        <w:rPr>
          <w:rFonts w:ascii="Georgia" w:hAnsi="Georgia" w:cs="Georgia"/>
          <w:i/>
          <w:iCs/>
          <w:sz w:val="21"/>
          <w:szCs w:val="21"/>
        </w:rPr>
      </w:pPr>
      <w:r>
        <w:rPr>
          <w:rFonts w:ascii="Georgia" w:hAnsi="Georgia"/>
          <w:i/>
          <w:iCs/>
          <w:sz w:val="21"/>
          <w:szCs w:val="21"/>
        </w:rPr>
        <w:t>Es una de las primeras grúas de la empresa en ofrecer el revolucionario sistema de monitoreo remoto Grove CONNECT</w:t>
      </w:r>
      <w:r>
        <w:rPr>
          <w:rFonts w:ascii="Georgia" w:hAnsi="Georgia"/>
          <w:i/>
          <w:iCs/>
          <w:sz w:val="21"/>
          <w:szCs w:val="21"/>
          <w:vertAlign w:val="superscript"/>
        </w:rPr>
        <w:t>TM</w:t>
      </w:r>
      <w:r>
        <w:rPr>
          <w:rFonts w:ascii="Georgia" w:hAnsi="Georgia"/>
          <w:i/>
          <w:iCs/>
          <w:sz w:val="21"/>
          <w:szCs w:val="21"/>
        </w:rPr>
        <w:t>.</w:t>
      </w:r>
    </w:p>
    <w:p w14:paraId="6A30CB5A" w14:textId="77777777" w:rsidR="00C86B86" w:rsidRPr="001D046B" w:rsidRDefault="00C86B86" w:rsidP="00C86B86">
      <w:pPr>
        <w:spacing w:line="276" w:lineRule="auto"/>
        <w:rPr>
          <w:rFonts w:ascii="Georgia" w:hAnsi="Georgia"/>
          <w:sz w:val="21"/>
          <w:szCs w:val="21"/>
        </w:rPr>
      </w:pPr>
    </w:p>
    <w:p w14:paraId="33038E59" w14:textId="46B6D488" w:rsidR="00624DB7" w:rsidRDefault="0094592F" w:rsidP="00C86B86">
      <w:pPr>
        <w:spacing w:line="276" w:lineRule="auto"/>
        <w:rPr>
          <w:rFonts w:ascii="Georgia" w:hAnsi="Georgia"/>
          <w:sz w:val="21"/>
          <w:szCs w:val="21"/>
        </w:rPr>
      </w:pPr>
      <w:r>
        <w:rPr>
          <w:rFonts w:ascii="Georgia" w:hAnsi="Georgia"/>
          <w:sz w:val="21"/>
          <w:szCs w:val="21"/>
        </w:rPr>
        <w:t xml:space="preserve">Para fortalecer su línea de grúas todo terreno de cuatro ejes, Manitowoc presentó su Grove GMK4070L durante el bauma 2022 en Munich, Alemania. La GMK4070L de 70 toneladas cuenta con las tablas de carga más potentes y la pluma más larga de su clase a 60 metros. </w:t>
      </w:r>
      <w:r w:rsidR="00E10A42">
        <w:rPr>
          <w:rFonts w:ascii="Georgia" w:hAnsi="Georgia"/>
          <w:sz w:val="21"/>
          <w:szCs w:val="21"/>
        </w:rPr>
        <w:t>Con</w:t>
      </w:r>
      <w:r w:rsidR="00624DB7">
        <w:rPr>
          <w:rFonts w:ascii="Georgia" w:hAnsi="Georgia"/>
          <w:sz w:val="21"/>
          <w:szCs w:val="21"/>
        </w:rPr>
        <w:t xml:space="preserve"> su largo completo de 60 metros, la grúa eleva un impresionante peso de 4.4 toneladas, mientras que con 49 metros, los propietarios pueden recoger cargas de hasta 8.3 toneladas. Cuando trabaja a su radio máximo de 46 metros, la GMK4070L elevará 1 tonelada.</w:t>
      </w:r>
    </w:p>
    <w:p w14:paraId="72C260E9" w14:textId="77777777" w:rsidR="00624DB7" w:rsidRDefault="00624DB7" w:rsidP="00C86B86">
      <w:pPr>
        <w:spacing w:line="276" w:lineRule="auto"/>
        <w:rPr>
          <w:rFonts w:ascii="Georgia" w:hAnsi="Georgia"/>
          <w:sz w:val="21"/>
          <w:szCs w:val="21"/>
        </w:rPr>
      </w:pPr>
    </w:p>
    <w:p w14:paraId="2CE1A3CC" w14:textId="2A78AE45" w:rsidR="00C86B86" w:rsidRDefault="0094592F" w:rsidP="00C86B86">
      <w:pPr>
        <w:spacing w:line="276" w:lineRule="auto"/>
        <w:rPr>
          <w:rFonts w:ascii="Georgia" w:hAnsi="Georgia"/>
          <w:sz w:val="21"/>
          <w:szCs w:val="21"/>
        </w:rPr>
      </w:pPr>
      <w:r>
        <w:rPr>
          <w:rFonts w:ascii="Georgia" w:hAnsi="Georgia"/>
          <w:sz w:val="21"/>
          <w:szCs w:val="21"/>
        </w:rPr>
        <w:t xml:space="preserve">Ofrece hasta 78 metros de altura máxima de la punta cuando la pluma principal de 60 metros se empareja con su opción de plumín articulado de 15 metros. Estas son capacidades que se asocian más comúnmente con las grúas de 100 toneladas, y permiten al nuevo modelo realizar trabajos que típicamente exigirían grúas de mayor tamaño. </w:t>
      </w:r>
    </w:p>
    <w:p w14:paraId="0E25EB2E" w14:textId="77777777" w:rsidR="001C6406" w:rsidRPr="007073F9" w:rsidRDefault="001C6406" w:rsidP="001C6406">
      <w:pPr>
        <w:spacing w:line="276" w:lineRule="auto"/>
        <w:rPr>
          <w:rFonts w:ascii="Georgia" w:hAnsi="Georgia"/>
          <w:sz w:val="21"/>
          <w:szCs w:val="16"/>
          <w:lang w:val="en-GB"/>
        </w:rPr>
      </w:pPr>
    </w:p>
    <w:p w14:paraId="5FBBFB28" w14:textId="15C03F9F" w:rsidR="001C6406" w:rsidRPr="007073F9" w:rsidRDefault="001C6406" w:rsidP="001C6406">
      <w:pPr>
        <w:spacing w:line="276" w:lineRule="auto"/>
        <w:rPr>
          <w:rFonts w:ascii="Georgia" w:hAnsi="Georgia"/>
          <w:sz w:val="21"/>
          <w:szCs w:val="20"/>
        </w:rPr>
      </w:pPr>
      <w:r>
        <w:rPr>
          <w:rFonts w:ascii="Georgia" w:hAnsi="Georgia"/>
          <w:sz w:val="21"/>
        </w:rPr>
        <w:t xml:space="preserve">“La Grove GMK4070L ofrece un diseño con ingeniería mejorada y adopta varias de las más recientes tecnologías para brindar nuevos niveles de rendimiento, operación, facilidad de servicio y eficiencia en el consumo de combustible”, comentó </w:t>
      </w:r>
      <w:r>
        <w:rPr>
          <w:rFonts w:ascii="Georgia" w:hAnsi="Georgia"/>
          <w:sz w:val="21"/>
          <w:szCs w:val="18"/>
          <w:shd w:val="clear" w:color="auto" w:fill="FFFFFF"/>
        </w:rPr>
        <w:t>Andreas Cremer, vicepresidente de gestión de producto para grúas móviles de Manitowoc. “Es una máquina que realmente revolucionará la industria y sorprenderá a muchos clientes con todo lo que adicionalmente puede lograr una grúa todo terreno de 70 toneladas”.</w:t>
      </w:r>
    </w:p>
    <w:p w14:paraId="675585CD" w14:textId="77777777" w:rsidR="00C86B86" w:rsidRPr="005B47E8" w:rsidRDefault="00C86B86" w:rsidP="00C86B86">
      <w:pPr>
        <w:spacing w:line="276" w:lineRule="auto"/>
        <w:rPr>
          <w:rFonts w:ascii="Georgia" w:hAnsi="Georgia"/>
          <w:b/>
          <w:color w:val="000000"/>
          <w:sz w:val="21"/>
        </w:rPr>
      </w:pPr>
    </w:p>
    <w:p w14:paraId="56FAE842" w14:textId="77777777" w:rsidR="00C86B86" w:rsidRPr="005B47E8" w:rsidRDefault="00C86B86" w:rsidP="00C86B86">
      <w:pPr>
        <w:spacing w:line="276" w:lineRule="auto"/>
        <w:rPr>
          <w:rFonts w:ascii="Georgia" w:hAnsi="Georgia"/>
          <w:b/>
          <w:color w:val="000000"/>
          <w:sz w:val="21"/>
          <w:szCs w:val="20"/>
        </w:rPr>
      </w:pPr>
      <w:r>
        <w:rPr>
          <w:rFonts w:ascii="Georgia" w:hAnsi="Georgia"/>
          <w:b/>
          <w:color w:val="000000"/>
          <w:sz w:val="21"/>
          <w:szCs w:val="20"/>
        </w:rPr>
        <w:t>Diseñada para la carretera</w:t>
      </w:r>
    </w:p>
    <w:p w14:paraId="72ACFD32" w14:textId="77777777" w:rsidR="00C86B86" w:rsidRPr="005B47E8" w:rsidRDefault="00C86B86" w:rsidP="00C86B86">
      <w:pPr>
        <w:spacing w:line="276" w:lineRule="auto"/>
        <w:rPr>
          <w:rFonts w:ascii="Georgia" w:hAnsi="Georgia"/>
          <w:sz w:val="21"/>
          <w:szCs w:val="20"/>
          <w:lang w:val="en-GB"/>
        </w:rPr>
      </w:pPr>
    </w:p>
    <w:p w14:paraId="717A6378" w14:textId="7BF9C756" w:rsidR="00C86B86" w:rsidRPr="005B47E8" w:rsidRDefault="00C86B86" w:rsidP="00C86B86">
      <w:pPr>
        <w:spacing w:line="276" w:lineRule="auto"/>
        <w:rPr>
          <w:rFonts w:ascii="Georgia" w:hAnsi="Georgia"/>
          <w:sz w:val="21"/>
        </w:rPr>
      </w:pPr>
      <w:r>
        <w:rPr>
          <w:rFonts w:ascii="Georgia" w:hAnsi="Georgia"/>
          <w:sz w:val="21"/>
          <w:szCs w:val="20"/>
        </w:rPr>
        <w:t xml:space="preserve">Con una versatilidad incomparable, la GMK4070L proporciona a los propietarios una amplia gama de opciones para su transporte. En una configuración para 16.5 toneladas por eje, la grúa puede portar 17.8 toneladas de contrapeso, apenas </w:t>
      </w:r>
      <w:r w:rsidR="00E10A42">
        <w:rPr>
          <w:rFonts w:ascii="Georgia" w:hAnsi="Georgia"/>
          <w:sz w:val="21"/>
          <w:szCs w:val="20"/>
        </w:rPr>
        <w:t xml:space="preserve">un poco </w:t>
      </w:r>
      <w:r>
        <w:rPr>
          <w:rFonts w:ascii="Georgia" w:hAnsi="Georgia"/>
          <w:sz w:val="21"/>
          <w:szCs w:val="20"/>
        </w:rPr>
        <w:t xml:space="preserve">por debajo de su complemento completo de 19 </w:t>
      </w:r>
      <w:r>
        <w:rPr>
          <w:rFonts w:ascii="Georgia" w:hAnsi="Georgia"/>
          <w:sz w:val="21"/>
          <w:szCs w:val="20"/>
        </w:rPr>
        <w:lastRenderedPageBreak/>
        <w:t xml:space="preserve">toneladas. En situaciones que requieren una configuración para 12 toneladas por eje, puede portar 13.3 toneladas, mientras que en una configuración de 10 toneladas por eje, puede portar 5.3 toneladas de contrapeso. </w:t>
      </w:r>
    </w:p>
    <w:p w14:paraId="7F46D99E" w14:textId="77777777" w:rsidR="00C86B86" w:rsidRPr="005B47E8" w:rsidRDefault="00C86B86" w:rsidP="00C86B86">
      <w:pPr>
        <w:spacing w:line="276" w:lineRule="auto"/>
        <w:rPr>
          <w:rFonts w:ascii="Georgia" w:hAnsi="Georgia"/>
          <w:sz w:val="21"/>
          <w:lang w:val="en-GB"/>
        </w:rPr>
      </w:pPr>
    </w:p>
    <w:p w14:paraId="5C17794F" w14:textId="6A8864EB" w:rsidR="00C86B86" w:rsidRPr="005B47E8" w:rsidRDefault="00D968BA" w:rsidP="00C86B86">
      <w:pPr>
        <w:spacing w:line="276" w:lineRule="auto"/>
        <w:rPr>
          <w:rFonts w:ascii="Georgia" w:hAnsi="Georgia"/>
          <w:sz w:val="21"/>
          <w:szCs w:val="14"/>
        </w:rPr>
      </w:pPr>
      <w:r>
        <w:rPr>
          <w:rFonts w:ascii="Georgia" w:hAnsi="Georgia"/>
          <w:sz w:val="21"/>
          <w:szCs w:val="20"/>
        </w:rPr>
        <w:t xml:space="preserve">Un retardador </w:t>
      </w:r>
      <w:r>
        <w:rPr>
          <w:rFonts w:ascii="Georgia" w:hAnsi="Georgia"/>
          <w:sz w:val="21"/>
        </w:rPr>
        <w:t xml:space="preserve">Telma incorporado en el vehículo reduce el riesgo de calentamiento y de desgaste general en el sistema convencional de frenos de servicio. El </w:t>
      </w:r>
      <w:r>
        <w:rPr>
          <w:rFonts w:ascii="Georgia" w:hAnsi="Georgia"/>
          <w:sz w:val="21"/>
          <w:szCs w:val="14"/>
        </w:rPr>
        <w:t>sistema de frenado</w:t>
      </w:r>
      <w:r>
        <w:rPr>
          <w:rFonts w:ascii="Georgia" w:hAnsi="Georgia"/>
          <w:sz w:val="21"/>
        </w:rPr>
        <w:t xml:space="preserve"> </w:t>
      </w:r>
      <w:r>
        <w:rPr>
          <w:rFonts w:ascii="Georgia" w:hAnsi="Georgia"/>
          <w:sz w:val="21"/>
          <w:szCs w:val="14"/>
        </w:rPr>
        <w:t>Telma, sin fricción y libre de mantenimiento, sigue</w:t>
      </w:r>
      <w:r>
        <w:rPr>
          <w:rFonts w:ascii="Georgia" w:hAnsi="Georgia"/>
          <w:sz w:val="21"/>
        </w:rPr>
        <w:t xml:space="preserve"> </w:t>
      </w:r>
      <w:r>
        <w:rPr>
          <w:rFonts w:ascii="Georgia" w:hAnsi="Georgia"/>
          <w:sz w:val="21"/>
          <w:szCs w:val="14"/>
        </w:rPr>
        <w:t xml:space="preserve">activado aún después de que el motor se ha apagado, o cuando la caja de engranajes está en la posición neutral, lo que garantiza la disponibilidad de toda la potencia de frenado, independientemente de la velocidad de la grúa. </w:t>
      </w:r>
    </w:p>
    <w:p w14:paraId="0B95AFBB" w14:textId="77777777" w:rsidR="00C86B86" w:rsidRPr="005B47E8" w:rsidRDefault="00C86B86" w:rsidP="00C86B86">
      <w:pPr>
        <w:spacing w:line="276" w:lineRule="auto"/>
        <w:rPr>
          <w:rFonts w:ascii="Georgia" w:hAnsi="Georgia"/>
          <w:sz w:val="21"/>
          <w:szCs w:val="14"/>
        </w:rPr>
      </w:pPr>
    </w:p>
    <w:p w14:paraId="22B5E2E0" w14:textId="036D9B18" w:rsidR="00C86B86" w:rsidRPr="005B47E8" w:rsidRDefault="00323B5D" w:rsidP="00C86B86">
      <w:pPr>
        <w:spacing w:line="276" w:lineRule="auto"/>
        <w:rPr>
          <w:rFonts w:ascii="Georgia" w:hAnsi="Georgia"/>
          <w:color w:val="000000"/>
          <w:sz w:val="21"/>
        </w:rPr>
      </w:pPr>
      <w:r>
        <w:rPr>
          <w:rFonts w:ascii="Georgia" w:hAnsi="Georgia"/>
          <w:sz w:val="21"/>
        </w:rPr>
        <w:t>Los operadores viajan en el interior de la nueva cabina de vehículo de alta visibilidad</w:t>
      </w:r>
      <w:r>
        <w:rPr>
          <w:rFonts w:ascii="Georgia" w:hAnsi="Georgia"/>
          <w:sz w:val="21"/>
          <w:szCs w:val="14"/>
        </w:rPr>
        <w:t xml:space="preserve">, la cual ofrece los mejores niveles de protección, en línea con las regulaciones </w:t>
      </w:r>
      <w:r>
        <w:rPr>
          <w:rFonts w:ascii="Georgia" w:hAnsi="Georgia"/>
          <w:color w:val="000000"/>
          <w:sz w:val="21"/>
        </w:rPr>
        <w:t xml:space="preserve">ECE R29-3 europeas, garantizando un nivel excepcional de seguridad contra </w:t>
      </w:r>
      <w:r>
        <w:rPr>
          <w:rFonts w:ascii="Georgia" w:hAnsi="Georgia"/>
          <w:color w:val="333333"/>
          <w:sz w:val="21"/>
          <w:szCs w:val="17"/>
          <w:shd w:val="clear" w:color="auto" w:fill="FFFFFF"/>
        </w:rPr>
        <w:t xml:space="preserve">impactos frontales y de resistencia en el techo y en la pared trasera. </w:t>
      </w:r>
      <w:r>
        <w:rPr>
          <w:rFonts w:ascii="Georgia" w:hAnsi="Georgia"/>
          <w:sz w:val="21"/>
        </w:rPr>
        <w:t>La potencia para el vehículo y la superestructura proviene de un motor diesel Mercedes Benz OM470LA sencillo de 6 cilindros y 320 kW (430 hp). Este motor, eficiente y limpio, que cumple con los requisitos Euromot 5/Tier 4 Final, está aprobado para su uso con diesel HVO, lo que es de gran importancia para clientes que buscan reducir aún más las emisiones de CO</w:t>
      </w:r>
      <w:r>
        <w:rPr>
          <w:rFonts w:ascii="Georgia" w:hAnsi="Georgia"/>
          <w:sz w:val="21"/>
          <w:vertAlign w:val="subscript"/>
        </w:rPr>
        <w:t>2</w:t>
      </w:r>
      <w:r>
        <w:rPr>
          <w:rFonts w:ascii="Georgia" w:hAnsi="Georgia"/>
          <w:sz w:val="21"/>
        </w:rPr>
        <w:t xml:space="preserve"> o que deben cumplir con requisitos ambientales muy exigentes en el sitio de trabajo</w:t>
      </w:r>
      <w:r>
        <w:rPr>
          <w:rFonts w:ascii="Georgia" w:hAnsi="Georgia"/>
          <w:color w:val="000000"/>
          <w:sz w:val="21"/>
        </w:rPr>
        <w:t>. Al igual que con la mayoría de las nuevas grúas móviles Grove, el modo ECO del motor se puede usar junto con el modo de ahorro de combustible de la transmisión para obtener una eficiencia insuperable en el consumo de combustible.</w:t>
      </w:r>
    </w:p>
    <w:p w14:paraId="36CD648C" w14:textId="77777777" w:rsidR="00C86B86" w:rsidRPr="005B47E8" w:rsidRDefault="00C86B86" w:rsidP="00C86B86">
      <w:pPr>
        <w:spacing w:line="276" w:lineRule="auto"/>
        <w:rPr>
          <w:rFonts w:ascii="Georgia" w:hAnsi="Georgia"/>
          <w:color w:val="000000"/>
          <w:sz w:val="21"/>
        </w:rPr>
      </w:pPr>
    </w:p>
    <w:p w14:paraId="0097190B" w14:textId="1A0A1CD5" w:rsidR="00C86B86" w:rsidRPr="00064775" w:rsidRDefault="009D153A" w:rsidP="00C86B86">
      <w:pPr>
        <w:spacing w:line="276" w:lineRule="auto"/>
        <w:rPr>
          <w:rFonts w:ascii="Georgia" w:hAnsi="Georgia"/>
          <w:b/>
          <w:sz w:val="21"/>
        </w:rPr>
      </w:pPr>
      <w:r>
        <w:rPr>
          <w:rFonts w:ascii="Georgia" w:hAnsi="Georgia"/>
          <w:b/>
          <w:sz w:val="21"/>
        </w:rPr>
        <w:t>Tecnología y automatización en primer plano</w:t>
      </w:r>
    </w:p>
    <w:p w14:paraId="3FA867BB" w14:textId="77777777" w:rsidR="00C86B86" w:rsidRDefault="00C86B86" w:rsidP="00C86B86">
      <w:pPr>
        <w:spacing w:line="276" w:lineRule="auto"/>
        <w:rPr>
          <w:rFonts w:ascii="Georgia" w:hAnsi="Georgia"/>
          <w:color w:val="000000"/>
          <w:sz w:val="21"/>
        </w:rPr>
      </w:pPr>
    </w:p>
    <w:p w14:paraId="454F9B27" w14:textId="15F976C2" w:rsidR="007F3757" w:rsidRPr="007073F9" w:rsidRDefault="007F3757" w:rsidP="007F3757">
      <w:pPr>
        <w:spacing w:line="276" w:lineRule="auto"/>
        <w:rPr>
          <w:rFonts w:ascii="Georgia" w:hAnsi="Georgia"/>
          <w:sz w:val="21"/>
          <w:szCs w:val="21"/>
        </w:rPr>
      </w:pPr>
      <w:r>
        <w:rPr>
          <w:rFonts w:ascii="Georgia" w:hAnsi="Georgia"/>
          <w:sz w:val="21"/>
          <w:szCs w:val="21"/>
        </w:rPr>
        <w:t xml:space="preserve">La GMK4070L es una de las primeras grúas de Manitowoc en ofrecer la nueva y excitante plataforma digital </w:t>
      </w:r>
      <w:r>
        <w:rPr>
          <w:rFonts w:ascii="Georgia" w:hAnsi="Georgia"/>
          <w:color w:val="000000"/>
          <w:sz w:val="21"/>
          <w:szCs w:val="21"/>
        </w:rPr>
        <w:t xml:space="preserve">Grove </w:t>
      </w:r>
      <w:hyperlink r:id="rId12" w:history="1">
        <w:r>
          <w:rPr>
            <w:rStyle w:val="Hyperlink"/>
            <w:rFonts w:ascii="Georgia" w:hAnsi="Georgia"/>
            <w:sz w:val="21"/>
            <w:szCs w:val="21"/>
          </w:rPr>
          <w:t>CONNECT</w:t>
        </w:r>
      </w:hyperlink>
      <w:r>
        <w:rPr>
          <w:rStyle w:val="Hyperlink"/>
          <w:rFonts w:ascii="Georgia" w:hAnsi="Georgia"/>
          <w:sz w:val="21"/>
          <w:szCs w:val="21"/>
          <w:vertAlign w:val="superscript"/>
        </w:rPr>
        <w:t>TM</w:t>
      </w:r>
      <w:r w:rsidR="00E10A42">
        <w:rPr>
          <w:rFonts w:ascii="Georgia" w:hAnsi="Georgia"/>
          <w:sz w:val="21"/>
          <w:szCs w:val="21"/>
          <w:shd w:val="clear" w:color="auto" w:fill="FFFFFF"/>
        </w:rPr>
        <w:t>, q</w:t>
      </w:r>
      <w:r>
        <w:rPr>
          <w:rFonts w:ascii="Georgia" w:hAnsi="Georgia"/>
          <w:sz w:val="21"/>
          <w:szCs w:val="21"/>
          <w:shd w:val="clear" w:color="auto" w:fill="FFFFFF"/>
        </w:rPr>
        <w:t>ue proporciona a los propietarios acceso en tiempo real a los datos de la flota. Con Grove CONNECT</w:t>
      </w:r>
      <w:r>
        <w:rPr>
          <w:rFonts w:ascii="Georgia" w:hAnsi="Georgia"/>
          <w:sz w:val="21"/>
          <w:szCs w:val="21"/>
          <w:shd w:val="clear" w:color="auto" w:fill="FFFFFF"/>
          <w:vertAlign w:val="superscript"/>
        </w:rPr>
        <w:t>TM</w:t>
      </w:r>
      <w:r>
        <w:rPr>
          <w:rFonts w:ascii="Georgia" w:hAnsi="Georgia"/>
          <w:sz w:val="21"/>
          <w:szCs w:val="21"/>
          <w:shd w:val="clear" w:color="auto" w:fill="FFFFFF"/>
        </w:rPr>
        <w:t xml:space="preserve">, los administradores de las flotas pueden obtener información detallada al instante </w:t>
      </w:r>
      <w:r>
        <w:rPr>
          <w:rFonts w:ascii="Georgia" w:hAnsi="Georgia"/>
          <w:sz w:val="21"/>
          <w:szCs w:val="21"/>
        </w:rPr>
        <w:t xml:space="preserve">acerca del desempeño de la grúa con solo un par de </w:t>
      </w:r>
      <w:r>
        <w:rPr>
          <w:rFonts w:ascii="Georgia" w:hAnsi="Georgia"/>
          <w:sz w:val="21"/>
          <w:szCs w:val="21"/>
          <w:shd w:val="clear" w:color="auto" w:fill="FFFFFF"/>
        </w:rPr>
        <w:t xml:space="preserve">golpecitos en una pantalla. Los técnicos de servicio son apoyados con una localización de averías remota optimizada, </w:t>
      </w:r>
      <w:r>
        <w:rPr>
          <w:rFonts w:ascii="Georgia" w:hAnsi="Georgia"/>
          <w:sz w:val="21"/>
          <w:szCs w:val="21"/>
        </w:rPr>
        <w:t>lo que reduce la frecuencia de los desplazamientos en el sitio y fortalece los programas de mantenimiento preventivo.</w:t>
      </w:r>
    </w:p>
    <w:p w14:paraId="282492E9" w14:textId="77777777" w:rsidR="007F3757" w:rsidRDefault="007F3757" w:rsidP="00C86B86">
      <w:pPr>
        <w:spacing w:line="276" w:lineRule="auto"/>
        <w:rPr>
          <w:rFonts w:ascii="Georgia" w:hAnsi="Georgia"/>
          <w:color w:val="000000"/>
          <w:sz w:val="21"/>
        </w:rPr>
      </w:pPr>
    </w:p>
    <w:p w14:paraId="3AA03545" w14:textId="0C8EC780" w:rsidR="00C86B86" w:rsidRPr="005B47E8" w:rsidRDefault="00945F0B" w:rsidP="00C86B86">
      <w:pPr>
        <w:spacing w:line="276" w:lineRule="auto"/>
        <w:rPr>
          <w:rFonts w:ascii="Georgia" w:hAnsi="Georgia"/>
          <w:color w:val="222222"/>
          <w:sz w:val="21"/>
          <w:szCs w:val="14"/>
        </w:rPr>
      </w:pPr>
      <w:r>
        <w:rPr>
          <w:rFonts w:ascii="Georgia" w:hAnsi="Georgia"/>
          <w:color w:val="000000"/>
          <w:sz w:val="21"/>
        </w:rPr>
        <w:t xml:space="preserve">La característica opcional MAXbase ayuda a los usuarios a disminuir el tiempo de configuración en el sitio de trabajo y les proporciona una amplia selección de posiciones para los estabilizadores. Con esta opción, la grúa se convierte en la opción ideal para espacios confinados o para proyectos en los que los obstáculos impiden configurar la máquina en la ubicación preferida. </w:t>
      </w:r>
      <w:r>
        <w:rPr>
          <w:rFonts w:ascii="Georgia" w:hAnsi="Georgia"/>
          <w:sz w:val="21"/>
        </w:rPr>
        <w:t>El sistema</w:t>
      </w:r>
      <w:r>
        <w:rPr>
          <w:rFonts w:ascii="Georgia" w:hAnsi="Georgia"/>
          <w:color w:val="000000"/>
          <w:sz w:val="21"/>
        </w:rPr>
        <w:t xml:space="preserve"> MAXbase aumenta la productividad, permitiendo extender fácilmente los cuatro estabilizadores hidráulicos telescópicos con vigas dobles a un amplio rango de posiciones simétricas y asimétricas</w:t>
      </w:r>
      <w:r>
        <w:rPr>
          <w:rFonts w:ascii="Georgia" w:hAnsi="Georgia"/>
          <w:color w:val="222222"/>
          <w:sz w:val="21"/>
          <w:szCs w:val="14"/>
        </w:rPr>
        <w:t>. Esto aumenta al máximo la flexibilidad y permite continuar con el trabajo de elevación en entornos menos que ideales.</w:t>
      </w:r>
    </w:p>
    <w:p w14:paraId="2F28702F" w14:textId="77777777" w:rsidR="00C86B86" w:rsidRPr="005B47E8" w:rsidRDefault="00C86B86" w:rsidP="00C86B86">
      <w:pPr>
        <w:spacing w:line="276" w:lineRule="auto"/>
        <w:rPr>
          <w:rFonts w:ascii="Georgia" w:hAnsi="Georgia"/>
          <w:color w:val="222222"/>
          <w:sz w:val="21"/>
          <w:szCs w:val="14"/>
        </w:rPr>
      </w:pPr>
    </w:p>
    <w:p w14:paraId="3D6485EE" w14:textId="721614E9" w:rsidR="00C86B86" w:rsidRPr="005B47E8" w:rsidRDefault="672C9795" w:rsidP="672C9795">
      <w:pPr>
        <w:spacing w:line="276" w:lineRule="auto"/>
        <w:rPr>
          <w:rFonts w:ascii="Georgia" w:hAnsi="Georgia"/>
          <w:color w:val="000000"/>
          <w:sz w:val="21"/>
          <w:szCs w:val="21"/>
        </w:rPr>
      </w:pPr>
      <w:r>
        <w:rPr>
          <w:rFonts w:ascii="Georgia" w:hAnsi="Georgia"/>
          <w:color w:val="222222"/>
          <w:sz w:val="21"/>
          <w:szCs w:val="21"/>
        </w:rPr>
        <w:lastRenderedPageBreak/>
        <w:t xml:space="preserve">Además, para facilitarle la vida al operador, cuenta con el sistema de control de grúa (CCS), el cual apoya tanto las tareas de configuración como las de elevación. </w:t>
      </w:r>
      <w:r>
        <w:rPr>
          <w:rFonts w:ascii="Georgia" w:hAnsi="Georgia"/>
          <w:sz w:val="21"/>
          <w:szCs w:val="21"/>
        </w:rPr>
        <w:t>Usando la función de configuración de la pluma</w:t>
      </w:r>
      <w:r>
        <w:rPr>
          <w:rFonts w:ascii="Georgia" w:hAnsi="Georgia"/>
          <w:color w:val="222222"/>
          <w:sz w:val="21"/>
          <w:szCs w:val="21"/>
        </w:rPr>
        <w:t>, el operador puede seleccionar la configuración óptima de la pluma MEGAFORM</w:t>
      </w:r>
      <w:r>
        <w:rPr>
          <w:rFonts w:ascii="Georgia" w:hAnsi="Georgia"/>
          <w:color w:val="222222"/>
          <w:sz w:val="21"/>
          <w:szCs w:val="21"/>
          <w:vertAlign w:val="superscript"/>
        </w:rPr>
        <w:t>®</w:t>
      </w:r>
      <w:r>
        <w:rPr>
          <w:rFonts w:ascii="Georgia" w:hAnsi="Georgia"/>
          <w:color w:val="222222"/>
          <w:sz w:val="21"/>
          <w:szCs w:val="21"/>
        </w:rPr>
        <w:t xml:space="preserve"> de siete secciones con el sistema de doble fijación </w:t>
      </w:r>
      <w:r>
        <w:rPr>
          <w:rFonts w:ascii="Georgia" w:hAnsi="Georgia"/>
          <w:color w:val="000000" w:themeColor="text1"/>
          <w:sz w:val="21"/>
          <w:szCs w:val="21"/>
        </w:rPr>
        <w:t>TWIN-LOCK</w:t>
      </w:r>
      <w:r>
        <w:rPr>
          <w:rFonts w:ascii="Georgia" w:hAnsi="Georgia"/>
          <w:color w:val="000000" w:themeColor="text1"/>
          <w:sz w:val="21"/>
          <w:szCs w:val="21"/>
          <w:vertAlign w:val="superscript"/>
        </w:rPr>
        <w:t>®</w:t>
      </w:r>
      <w:r>
        <w:rPr>
          <w:rFonts w:ascii="Georgia" w:hAnsi="Georgia"/>
          <w:color w:val="000000" w:themeColor="text1"/>
          <w:sz w:val="21"/>
          <w:szCs w:val="21"/>
        </w:rPr>
        <w:t>.</w:t>
      </w:r>
    </w:p>
    <w:p w14:paraId="5472C08B" w14:textId="77777777" w:rsidR="00C86B86" w:rsidRPr="005B47E8" w:rsidRDefault="00C86B86" w:rsidP="00C86B86">
      <w:pPr>
        <w:spacing w:line="276" w:lineRule="auto"/>
        <w:rPr>
          <w:rFonts w:ascii="Georgia" w:hAnsi="Georgia"/>
          <w:color w:val="000000"/>
          <w:sz w:val="21"/>
        </w:rPr>
      </w:pPr>
    </w:p>
    <w:p w14:paraId="1439B57F" w14:textId="3A0C5324" w:rsidR="001C6406" w:rsidRDefault="001C6406" w:rsidP="00B0246E">
      <w:pPr>
        <w:spacing w:line="276" w:lineRule="auto"/>
        <w:rPr>
          <w:rFonts w:ascii="Georgia" w:hAnsi="Georgia" w:cs="Georgia"/>
          <w:sz w:val="21"/>
          <w:szCs w:val="21"/>
        </w:rPr>
      </w:pPr>
      <w:r>
        <w:rPr>
          <w:rFonts w:ascii="Georgia" w:hAnsi="Georgia"/>
          <w:sz w:val="21"/>
          <w:szCs w:val="21"/>
        </w:rPr>
        <w:t xml:space="preserve">Para conocer más acerca de la gama de grúas Grove todo terreno, haga clic </w:t>
      </w:r>
      <w:hyperlink r:id="rId13" w:history="1">
        <w:r>
          <w:rPr>
            <w:rStyle w:val="Hyperlink"/>
            <w:rFonts w:ascii="Georgia" w:hAnsi="Georgia"/>
            <w:sz w:val="21"/>
            <w:szCs w:val="21"/>
          </w:rPr>
          <w:t>aquí</w:t>
        </w:r>
      </w:hyperlink>
      <w:r>
        <w:rPr>
          <w:rFonts w:ascii="Georgia" w:hAnsi="Georgia"/>
          <w:sz w:val="21"/>
          <w:szCs w:val="21"/>
        </w:rPr>
        <w:t xml:space="preserve">. </w:t>
      </w:r>
    </w:p>
    <w:p w14:paraId="0EBE5E69" w14:textId="77777777" w:rsidR="00D66BF4" w:rsidRPr="00E06736" w:rsidRDefault="00D66BF4" w:rsidP="00B0246E">
      <w:pPr>
        <w:spacing w:line="276" w:lineRule="auto"/>
        <w:rPr>
          <w:rFonts w:ascii="Georgia" w:hAnsi="Georgia" w:cs="Georgia"/>
          <w:sz w:val="21"/>
          <w:szCs w:val="21"/>
        </w:rPr>
      </w:pPr>
    </w:p>
    <w:p w14:paraId="10FF9435"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-FIN-</w:t>
      </w:r>
    </w:p>
    <w:p w14:paraId="37E581FB" w14:textId="77777777" w:rsidR="00A678F4" w:rsidRPr="006A69FE"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23ECA954"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ED1C2A"/>
          <w:sz w:val="18"/>
          <w:szCs w:val="18"/>
        </w:rPr>
        <w:t>CONTACTO</w:t>
      </w:r>
      <w:r>
        <w:rPr>
          <w:rStyle w:val="eop"/>
          <w:rFonts w:ascii="Verdana" w:hAnsi="Verdana"/>
          <w:color w:val="ED1C2A"/>
          <w:sz w:val="18"/>
          <w:szCs w:val="18"/>
        </w:rPr>
        <w:t> </w:t>
      </w:r>
    </w:p>
    <w:p w14:paraId="4928CED6"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b/>
          <w:bCs/>
          <w:color w:val="41525C"/>
          <w:sz w:val="18"/>
          <w:szCs w:val="18"/>
        </w:rPr>
        <w:t>Insa Heim</w:t>
      </w:r>
      <w:r>
        <w:rPr>
          <w:rStyle w:val="eop"/>
          <w:rFonts w:ascii="Verdana" w:hAnsi="Verdana"/>
          <w:color w:val="41525C"/>
          <w:sz w:val="18"/>
          <w:szCs w:val="18"/>
        </w:rPr>
        <w:t> </w:t>
      </w:r>
    </w:p>
    <w:p w14:paraId="3D93C0FB"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Gerente de comunicaciones de mercadeo | Grúas móviles en Europa y África</w:t>
      </w:r>
      <w:r>
        <w:rPr>
          <w:rStyle w:val="normaltextrun"/>
          <w:color w:val="41525C"/>
          <w:sz w:val="18"/>
          <w:szCs w:val="18"/>
        </w:rPr>
        <w:t> </w:t>
      </w:r>
      <w:r>
        <w:rPr>
          <w:rStyle w:val="eop"/>
          <w:color w:val="41525C"/>
          <w:sz w:val="18"/>
          <w:szCs w:val="18"/>
        </w:rPr>
        <w:t> </w:t>
      </w:r>
    </w:p>
    <w:p w14:paraId="685F43D5"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Manitowoc</w:t>
      </w:r>
      <w:r>
        <w:rPr>
          <w:rStyle w:val="eop"/>
          <w:rFonts w:ascii="Verdana" w:hAnsi="Verdana"/>
          <w:color w:val="41525C"/>
          <w:sz w:val="18"/>
          <w:szCs w:val="18"/>
        </w:rPr>
        <w:t> </w:t>
      </w:r>
    </w:p>
    <w:p w14:paraId="29BA3CBD" w14:textId="77777777" w:rsidR="00B80292" w:rsidRDefault="00B80292" w:rsidP="00B802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41525C"/>
          <w:sz w:val="18"/>
          <w:szCs w:val="18"/>
        </w:rPr>
        <w:t>Tel: +49 4421 294 4170</w:t>
      </w:r>
      <w:r>
        <w:rPr>
          <w:rStyle w:val="eop"/>
          <w:rFonts w:ascii="Verdana" w:hAnsi="Verdana"/>
          <w:color w:val="41525C"/>
          <w:sz w:val="18"/>
          <w:szCs w:val="18"/>
        </w:rPr>
        <w:t> </w:t>
      </w:r>
    </w:p>
    <w:p w14:paraId="68B8E9E3" w14:textId="77777777" w:rsidR="00B80292" w:rsidRDefault="00681A27" w:rsidP="00B80292">
      <w:pPr>
        <w:pStyle w:val="paragraph"/>
        <w:spacing w:before="0" w:beforeAutospacing="0" w:after="0" w:afterAutospacing="0"/>
        <w:textAlignment w:val="baseline"/>
        <w:rPr>
          <w:rFonts w:ascii="Segoe UI" w:hAnsi="Segoe UI" w:cs="Segoe UI"/>
          <w:sz w:val="18"/>
          <w:szCs w:val="18"/>
        </w:rPr>
      </w:pPr>
      <w:hyperlink r:id="rId14" w:tgtFrame="_blank" w:history="1">
        <w:r w:rsidR="003A2A39">
          <w:rPr>
            <w:rStyle w:val="normaltextrun"/>
            <w:rFonts w:ascii="Verdana" w:hAnsi="Verdana"/>
            <w:color w:val="0000FF"/>
            <w:sz w:val="18"/>
            <w:szCs w:val="18"/>
            <w:u w:val="single"/>
          </w:rPr>
          <w:t>insa.heim@manitowoc.com</w:t>
        </w:r>
      </w:hyperlink>
      <w:r w:rsidR="003A2A39">
        <w:rPr>
          <w:rStyle w:val="eop"/>
          <w:rFonts w:ascii="Verdana" w:hAnsi="Verdana"/>
          <w:color w:val="41525C"/>
          <w:sz w:val="18"/>
          <w:szCs w:val="18"/>
        </w:rPr>
        <w:t> </w:t>
      </w:r>
    </w:p>
    <w:p w14:paraId="0062C6F8" w14:textId="77777777" w:rsidR="00901180" w:rsidRPr="00E212EB" w:rsidRDefault="00901180" w:rsidP="00901180">
      <w:pPr>
        <w:spacing w:line="240" w:lineRule="exact"/>
      </w:pPr>
      <w:r>
        <w:rPr>
          <w:rFonts w:ascii="Verdana" w:hAnsi="Verdana"/>
          <w:color w:val="ED1C2A"/>
          <w:sz w:val="18"/>
          <w:szCs w:val="18"/>
        </w:rPr>
        <w:t xml:space="preserve"> </w:t>
      </w:r>
    </w:p>
    <w:p w14:paraId="01A3A280"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7D9DC005"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FF0000"/>
          <w:sz w:val="18"/>
          <w:szCs w:val="18"/>
        </w:rPr>
        <w:t xml:space="preserve">ACERCA DE THE </w:t>
      </w:r>
      <w:r>
        <w:rPr>
          <w:rStyle w:val="normaltextrun"/>
          <w:rFonts w:ascii="Verdana" w:hAnsi="Verdana"/>
          <w:color w:val="ED1C2A"/>
          <w:sz w:val="18"/>
          <w:szCs w:val="18"/>
        </w:rPr>
        <w:t>MANITOWOC COMPANY, INC.</w:t>
      </w:r>
      <w:r>
        <w:rPr>
          <w:rStyle w:val="eop"/>
          <w:rFonts w:ascii="Verdana" w:hAnsi="Verdana"/>
          <w:color w:val="ED1C2A"/>
          <w:sz w:val="18"/>
          <w:szCs w:val="18"/>
        </w:rPr>
        <w:t> </w:t>
      </w:r>
    </w:p>
    <w:p w14:paraId="27DC7083"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olor w:val="000000"/>
          <w:sz w:val="18"/>
          <w:szCs w:val="18"/>
          <w:shd w:val="clear" w:color="auto" w:fill="FFFFFF"/>
        </w:rPr>
        <w:t>The Manitowoc Company, In. se fundó en 1902 y cuenta con una tradición de más de 120 años en el suministro a sus mercados de productos y servicios de apoyo de alta calidad orientados al cliente. Manitowoc es uno de los proveedores de soluciones de elevación de ingeniería líderes del mundo. Manitowoc, a través de subsidiarias de su propiedad absoluta, diseña, fabrica, mercadea y respalda las más completas líneas de productos de grúas hidráulicas móviles, grúas de oruga con pluma de celosía, grúas montadas en camión y grúas torre, bajo las marcas Aspen Equipment, Grove, Manitowoc, MGX Equipment Services, National Crane, Potain y Shuttlelift.</w:t>
      </w:r>
      <w:r>
        <w:rPr>
          <w:rStyle w:val="eop"/>
          <w:rFonts w:ascii="Verdana" w:hAnsi="Verdana"/>
          <w:color w:val="000000"/>
          <w:sz w:val="18"/>
          <w:szCs w:val="18"/>
        </w:rPr>
        <w:t> </w:t>
      </w:r>
    </w:p>
    <w:p w14:paraId="4ED517CC" w14:textId="77777777" w:rsidR="002D7A91" w:rsidRDefault="002D7A91" w:rsidP="002D7A91">
      <w:pPr>
        <w:pStyle w:val="paragraph"/>
        <w:spacing w:before="0" w:beforeAutospacing="0" w:after="0" w:afterAutospacing="0"/>
        <w:textAlignment w:val="baseline"/>
        <w:rPr>
          <w:rFonts w:ascii="Segoe UI" w:hAnsi="Segoe UI" w:cs="Segoe UI"/>
          <w:sz w:val="18"/>
          <w:szCs w:val="18"/>
        </w:rPr>
      </w:pPr>
      <w:r>
        <w:rPr>
          <w:rStyle w:val="eop"/>
          <w:color w:val="000000"/>
          <w:sz w:val="20"/>
          <w:szCs w:val="20"/>
        </w:rPr>
        <w:t> </w:t>
      </w:r>
    </w:p>
    <w:p w14:paraId="1B0C2CA0" w14:textId="77777777" w:rsidR="00901180" w:rsidRPr="002D7A91" w:rsidRDefault="00901180" w:rsidP="00901180">
      <w:pPr>
        <w:spacing w:line="276" w:lineRule="auto"/>
        <w:rPr>
          <w:rFonts w:ascii="Verdana" w:hAnsi="Verdana"/>
          <w:color w:val="41525C"/>
          <w:sz w:val="18"/>
          <w:szCs w:val="18"/>
          <w:lang w:val="en-SG"/>
        </w:rPr>
      </w:pPr>
    </w:p>
    <w:p w14:paraId="3D18A9E7" w14:textId="77777777" w:rsidR="00901180" w:rsidRPr="00E212EB" w:rsidRDefault="00901180" w:rsidP="00901180">
      <w:pPr>
        <w:spacing w:line="276" w:lineRule="auto"/>
        <w:outlineLvl w:val="0"/>
        <w:rPr>
          <w:sz w:val="18"/>
          <w:szCs w:val="18"/>
        </w:rPr>
      </w:pPr>
      <w:r>
        <w:rPr>
          <w:rFonts w:ascii="Verdana" w:hAnsi="Verdana"/>
          <w:color w:val="ED1C2A"/>
          <w:sz w:val="18"/>
          <w:szCs w:val="18"/>
        </w:rPr>
        <w:t>THE MANITOWOC COMPANY, INC.</w:t>
      </w:r>
    </w:p>
    <w:p w14:paraId="763ACA19" w14:textId="77777777"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One Park Plaza – 11270 West Park Place – Suite 1000 – Milwaukee, WI 53224, USA</w:t>
      </w:r>
    </w:p>
    <w:p w14:paraId="4868105A" w14:textId="77777777" w:rsidR="00901180" w:rsidRPr="00E212EB" w:rsidRDefault="00901180" w:rsidP="00901180">
      <w:pPr>
        <w:spacing w:line="276" w:lineRule="auto"/>
        <w:rPr>
          <w:rFonts w:ascii="Verdana" w:hAnsi="Verdana"/>
          <w:color w:val="41525C"/>
          <w:sz w:val="18"/>
          <w:szCs w:val="18"/>
        </w:rPr>
      </w:pPr>
      <w:r>
        <w:rPr>
          <w:rFonts w:ascii="Verdana" w:hAnsi="Verdana"/>
          <w:color w:val="41525C"/>
          <w:sz w:val="18"/>
          <w:szCs w:val="18"/>
        </w:rPr>
        <w:t>T +1 414 760 4600</w:t>
      </w:r>
    </w:p>
    <w:p w14:paraId="5B481C7E" w14:textId="77777777" w:rsidR="00901180" w:rsidRPr="00E212EB" w:rsidRDefault="00681A27" w:rsidP="00901180">
      <w:pPr>
        <w:spacing w:line="276" w:lineRule="auto"/>
        <w:rPr>
          <w:rFonts w:ascii="Verdana" w:hAnsi="Verdana"/>
          <w:b/>
          <w:bCs/>
          <w:color w:val="41525C"/>
          <w:sz w:val="18"/>
          <w:szCs w:val="18"/>
        </w:rPr>
      </w:pPr>
      <w:hyperlink r:id="rId15" w:history="1">
        <w:r w:rsidR="003A2A39">
          <w:rPr>
            <w:rStyle w:val="Hyperlink"/>
            <w:rFonts w:ascii="Verdana" w:hAnsi="Verdana"/>
            <w:b/>
            <w:bCs/>
            <w:color w:val="41525C"/>
            <w:sz w:val="18"/>
            <w:szCs w:val="18"/>
          </w:rPr>
          <w:t>www.manitowoc.com/es</w:t>
        </w:r>
      </w:hyperlink>
    </w:p>
    <w:p w14:paraId="7879F8C5"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7A498617" w14:textId="77777777" w:rsidR="00A00293" w:rsidRDefault="00A00293" w:rsidP="00901180">
      <w:pPr>
        <w:spacing w:line="276" w:lineRule="auto"/>
        <w:outlineLvl w:val="0"/>
        <w:rPr>
          <w:rFonts w:ascii="Verdana" w:eastAsia="Verdana" w:hAnsi="Verdana" w:cs="Verdana"/>
          <w:b/>
          <w:bCs/>
          <w:color w:val="41525C"/>
          <w:sz w:val="18"/>
          <w:szCs w:val="18"/>
          <w:u w:val="single"/>
        </w:rPr>
      </w:pPr>
    </w:p>
    <w:p w14:paraId="71AA092D" w14:textId="77777777" w:rsidR="004241A7" w:rsidRDefault="004241A7" w:rsidP="00901180">
      <w:pPr>
        <w:spacing w:line="276" w:lineRule="auto"/>
        <w:outlineLvl w:val="0"/>
        <w:rPr>
          <w:rFonts w:ascii="Verdana" w:eastAsia="Verdana" w:hAnsi="Verdana" w:cs="Verdana"/>
          <w:b/>
          <w:bCs/>
          <w:color w:val="41525C"/>
          <w:sz w:val="18"/>
          <w:szCs w:val="18"/>
          <w:u w:val="single"/>
        </w:rPr>
      </w:pPr>
    </w:p>
    <w:p w14:paraId="232F080C" w14:textId="77777777" w:rsidR="004241A7" w:rsidRDefault="004241A7" w:rsidP="00901180">
      <w:pPr>
        <w:spacing w:line="276" w:lineRule="auto"/>
        <w:outlineLvl w:val="0"/>
        <w:rPr>
          <w:rFonts w:ascii="Verdana" w:eastAsia="Verdana" w:hAnsi="Verdana" w:cs="Verdana"/>
          <w:b/>
          <w:bCs/>
          <w:color w:val="41525C"/>
          <w:sz w:val="18"/>
          <w:szCs w:val="18"/>
          <w:u w:val="single"/>
        </w:rPr>
      </w:pPr>
    </w:p>
    <w:sectPr w:rsidR="004241A7"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429B" w14:textId="77777777" w:rsidR="005A2252" w:rsidRDefault="005A2252">
      <w:r>
        <w:separator/>
      </w:r>
    </w:p>
  </w:endnote>
  <w:endnote w:type="continuationSeparator" w:id="0">
    <w:p w14:paraId="01370DA4" w14:textId="77777777" w:rsidR="005A2252" w:rsidRDefault="005A2252">
      <w:r>
        <w:continuationSeparator/>
      </w:r>
    </w:p>
  </w:endnote>
  <w:endnote w:type="continuationNotice" w:id="1">
    <w:p w14:paraId="49806715" w14:textId="77777777" w:rsidR="005A2252" w:rsidRDefault="005A2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628C3513" w14:textId="77777777">
      <w:tc>
        <w:tcPr>
          <w:tcW w:w="3139" w:type="dxa"/>
        </w:tcPr>
        <w:p w14:paraId="423042BB" w14:textId="77777777" w:rsidR="00E21325" w:rsidRDefault="00E21325" w:rsidP="3374BF90">
          <w:pPr>
            <w:pStyle w:val="Header"/>
            <w:ind w:left="-115"/>
          </w:pPr>
        </w:p>
      </w:tc>
      <w:tc>
        <w:tcPr>
          <w:tcW w:w="3139" w:type="dxa"/>
        </w:tcPr>
        <w:p w14:paraId="507CC564" w14:textId="77777777" w:rsidR="00E21325" w:rsidRDefault="00E21325" w:rsidP="3374BF90">
          <w:pPr>
            <w:pStyle w:val="Header"/>
            <w:jc w:val="center"/>
          </w:pPr>
        </w:p>
      </w:tc>
      <w:tc>
        <w:tcPr>
          <w:tcW w:w="3139" w:type="dxa"/>
        </w:tcPr>
        <w:p w14:paraId="5DAD75C7" w14:textId="77777777" w:rsidR="00E21325" w:rsidRDefault="00E21325" w:rsidP="3374BF90">
          <w:pPr>
            <w:pStyle w:val="Header"/>
            <w:ind w:right="-115"/>
            <w:jc w:val="right"/>
          </w:pPr>
        </w:p>
      </w:tc>
    </w:tr>
  </w:tbl>
  <w:p w14:paraId="37DCF551" w14:textId="77777777" w:rsidR="00E21325" w:rsidRDefault="00E21325"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409DE079" w14:textId="77777777">
      <w:tc>
        <w:tcPr>
          <w:tcW w:w="3139" w:type="dxa"/>
        </w:tcPr>
        <w:p w14:paraId="42F6100A" w14:textId="77777777" w:rsidR="00E21325" w:rsidRDefault="00E21325" w:rsidP="3374BF90">
          <w:pPr>
            <w:pStyle w:val="Header"/>
            <w:ind w:left="-115"/>
          </w:pPr>
        </w:p>
      </w:tc>
      <w:tc>
        <w:tcPr>
          <w:tcW w:w="3139" w:type="dxa"/>
        </w:tcPr>
        <w:p w14:paraId="74D23156" w14:textId="77777777" w:rsidR="00E21325" w:rsidRDefault="00E21325" w:rsidP="3374BF90">
          <w:pPr>
            <w:pStyle w:val="Header"/>
            <w:jc w:val="center"/>
          </w:pPr>
        </w:p>
      </w:tc>
      <w:tc>
        <w:tcPr>
          <w:tcW w:w="3139" w:type="dxa"/>
        </w:tcPr>
        <w:p w14:paraId="3EBBAB0D" w14:textId="77777777" w:rsidR="00E21325" w:rsidRDefault="00E21325" w:rsidP="3374BF90">
          <w:pPr>
            <w:pStyle w:val="Header"/>
            <w:ind w:right="-115"/>
            <w:jc w:val="right"/>
          </w:pPr>
        </w:p>
      </w:tc>
    </w:tr>
  </w:tbl>
  <w:p w14:paraId="03B95821" w14:textId="77777777" w:rsidR="00E21325" w:rsidRDefault="00E21325"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2CF8" w14:textId="77777777" w:rsidR="005A2252" w:rsidRDefault="005A2252">
      <w:r>
        <w:separator/>
      </w:r>
    </w:p>
  </w:footnote>
  <w:footnote w:type="continuationSeparator" w:id="0">
    <w:p w14:paraId="38747C80" w14:textId="77777777" w:rsidR="005A2252" w:rsidRDefault="005A2252">
      <w:r>
        <w:continuationSeparator/>
      </w:r>
    </w:p>
  </w:footnote>
  <w:footnote w:type="continuationNotice" w:id="1">
    <w:p w14:paraId="0D8F438C" w14:textId="77777777" w:rsidR="005A2252" w:rsidRDefault="005A2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6EBD" w14:textId="7FBE7C11" w:rsidR="00E21325" w:rsidRPr="002B32BD" w:rsidRDefault="003E79EA" w:rsidP="002B32BD">
    <w:pPr>
      <w:spacing w:line="276" w:lineRule="auto"/>
      <w:outlineLvl w:val="0"/>
      <w:rPr>
        <w:rFonts w:ascii="Verdana" w:hAnsi="Verdana"/>
        <w:b/>
        <w:sz w:val="18"/>
        <w:szCs w:val="28"/>
      </w:rPr>
    </w:pPr>
    <w:r>
      <w:rPr>
        <w:rFonts w:ascii="Verdana" w:hAnsi="Verdana"/>
        <w:b/>
        <w:sz w:val="18"/>
        <w:szCs w:val="28"/>
      </w:rPr>
      <w:t>Grove presenta la GMK4070L en bauma 2022 y expande las oportunidades en el mercado para las grúas todo terreno de cuatro ejes</w:t>
    </w:r>
  </w:p>
  <w:p w14:paraId="3EBB29EB" w14:textId="32AC95B2" w:rsidR="00E21325" w:rsidRDefault="00E21325" w:rsidP="791F3BE8">
    <w:pPr>
      <w:spacing w:line="276" w:lineRule="auto"/>
      <w:rPr>
        <w:rFonts w:ascii="Verdana" w:hAnsi="Verdana"/>
        <w:color w:val="41525C"/>
      </w:rPr>
    </w:pPr>
    <w:r>
      <w:rPr>
        <w:rFonts w:ascii="Verdana" w:hAnsi="Verdana"/>
        <w:color w:val="41525C"/>
        <w:sz w:val="18"/>
        <w:szCs w:val="18"/>
      </w:rPr>
      <w:t>2</w:t>
    </w:r>
    <w:r w:rsidR="007543C9">
      <w:rPr>
        <w:rFonts w:ascii="Verdana" w:hAnsi="Verdana"/>
        <w:color w:val="41525C"/>
        <w:sz w:val="18"/>
        <w:szCs w:val="18"/>
      </w:rPr>
      <w:t>5</w:t>
    </w:r>
    <w:r>
      <w:rPr>
        <w:rFonts w:ascii="Verdana" w:hAnsi="Verdana"/>
        <w:color w:val="41525C"/>
        <w:sz w:val="18"/>
        <w:szCs w:val="18"/>
      </w:rPr>
      <w:t xml:space="preserve"> de octubre de 2022</w:t>
    </w:r>
  </w:p>
  <w:p w14:paraId="2D43ED5F" w14:textId="77777777" w:rsidR="00E21325" w:rsidRPr="003E31C0" w:rsidRDefault="00E21325" w:rsidP="00163032">
    <w:pPr>
      <w:spacing w:line="276" w:lineRule="auto"/>
      <w:rPr>
        <w:rFonts w:ascii="Verdana" w:hAnsi="Verdana"/>
        <w:sz w:val="16"/>
        <w:szCs w:val="16"/>
      </w:rPr>
    </w:pPr>
  </w:p>
  <w:p w14:paraId="21F6168D" w14:textId="77777777" w:rsidR="00E21325" w:rsidRDefault="00E21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00E21325" w14:paraId="317380CF" w14:textId="77777777">
      <w:tc>
        <w:tcPr>
          <w:tcW w:w="3139" w:type="dxa"/>
        </w:tcPr>
        <w:p w14:paraId="6ECBE2C1" w14:textId="77777777" w:rsidR="00E21325" w:rsidRDefault="00E21325" w:rsidP="3374BF90">
          <w:pPr>
            <w:pStyle w:val="Header"/>
            <w:ind w:left="-115"/>
          </w:pPr>
        </w:p>
      </w:tc>
      <w:tc>
        <w:tcPr>
          <w:tcW w:w="3139" w:type="dxa"/>
        </w:tcPr>
        <w:p w14:paraId="1EC70292" w14:textId="77777777" w:rsidR="00E21325" w:rsidRDefault="00E21325" w:rsidP="3374BF90">
          <w:pPr>
            <w:pStyle w:val="Header"/>
            <w:jc w:val="center"/>
          </w:pPr>
        </w:p>
      </w:tc>
      <w:tc>
        <w:tcPr>
          <w:tcW w:w="3139" w:type="dxa"/>
        </w:tcPr>
        <w:p w14:paraId="53BA69A3" w14:textId="77777777" w:rsidR="00E21325" w:rsidRDefault="00E21325" w:rsidP="3374BF90">
          <w:pPr>
            <w:pStyle w:val="Header"/>
            <w:ind w:right="-115"/>
            <w:jc w:val="right"/>
          </w:pPr>
        </w:p>
      </w:tc>
    </w:tr>
  </w:tbl>
  <w:p w14:paraId="372162EF" w14:textId="77777777" w:rsidR="00E21325" w:rsidRDefault="00E21325"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E14A4"/>
    <w:multiLevelType w:val="hybridMultilevel"/>
    <w:tmpl w:val="384AEE9E"/>
    <w:lvl w:ilvl="0" w:tplc="AB1E274A">
      <w:start w:val="1"/>
      <w:numFmt w:val="bullet"/>
      <w:lvlText w:val=""/>
      <w:lvlJc w:val="left"/>
      <w:pPr>
        <w:tabs>
          <w:tab w:val="num" w:pos="720"/>
        </w:tabs>
        <w:ind w:left="720" w:hanging="360"/>
      </w:pPr>
      <w:rPr>
        <w:rFonts w:ascii="Symbol" w:hAnsi="Symbol" w:hint="default"/>
        <w:sz w:val="20"/>
      </w:rPr>
    </w:lvl>
    <w:lvl w:ilvl="1" w:tplc="BD389764">
      <w:start w:val="1"/>
      <w:numFmt w:val="bullet"/>
      <w:lvlText w:val="o"/>
      <w:lvlJc w:val="left"/>
      <w:pPr>
        <w:tabs>
          <w:tab w:val="num" w:pos="1440"/>
        </w:tabs>
        <w:ind w:left="1440" w:hanging="360"/>
      </w:pPr>
      <w:rPr>
        <w:rFonts w:ascii="Courier New" w:hAnsi="Courier New" w:cs="Times New Roman" w:hint="default"/>
        <w:sz w:val="20"/>
      </w:rPr>
    </w:lvl>
    <w:lvl w:ilvl="2" w:tplc="569C0FFE">
      <w:start w:val="1"/>
      <w:numFmt w:val="bullet"/>
      <w:lvlText w:val=""/>
      <w:lvlJc w:val="left"/>
      <w:pPr>
        <w:tabs>
          <w:tab w:val="num" w:pos="2160"/>
        </w:tabs>
        <w:ind w:left="2160" w:hanging="360"/>
      </w:pPr>
      <w:rPr>
        <w:rFonts w:ascii="Wingdings" w:hAnsi="Wingdings" w:hint="default"/>
        <w:sz w:val="20"/>
      </w:rPr>
    </w:lvl>
    <w:lvl w:ilvl="3" w:tplc="E9E493FE">
      <w:start w:val="1"/>
      <w:numFmt w:val="bullet"/>
      <w:lvlText w:val=""/>
      <w:lvlJc w:val="left"/>
      <w:pPr>
        <w:tabs>
          <w:tab w:val="num" w:pos="2880"/>
        </w:tabs>
        <w:ind w:left="2880" w:hanging="360"/>
      </w:pPr>
      <w:rPr>
        <w:rFonts w:ascii="Wingdings" w:hAnsi="Wingdings" w:hint="default"/>
        <w:sz w:val="20"/>
      </w:rPr>
    </w:lvl>
    <w:lvl w:ilvl="4" w:tplc="1F625C7A">
      <w:start w:val="1"/>
      <w:numFmt w:val="bullet"/>
      <w:lvlText w:val=""/>
      <w:lvlJc w:val="left"/>
      <w:pPr>
        <w:tabs>
          <w:tab w:val="num" w:pos="3600"/>
        </w:tabs>
        <w:ind w:left="3600" w:hanging="360"/>
      </w:pPr>
      <w:rPr>
        <w:rFonts w:ascii="Wingdings" w:hAnsi="Wingdings" w:hint="default"/>
        <w:sz w:val="20"/>
      </w:rPr>
    </w:lvl>
    <w:lvl w:ilvl="5" w:tplc="370631A6">
      <w:start w:val="1"/>
      <w:numFmt w:val="bullet"/>
      <w:lvlText w:val=""/>
      <w:lvlJc w:val="left"/>
      <w:pPr>
        <w:tabs>
          <w:tab w:val="num" w:pos="4320"/>
        </w:tabs>
        <w:ind w:left="4320" w:hanging="360"/>
      </w:pPr>
      <w:rPr>
        <w:rFonts w:ascii="Wingdings" w:hAnsi="Wingdings" w:hint="default"/>
        <w:sz w:val="20"/>
      </w:rPr>
    </w:lvl>
    <w:lvl w:ilvl="6" w:tplc="00FE4D22">
      <w:start w:val="1"/>
      <w:numFmt w:val="bullet"/>
      <w:lvlText w:val=""/>
      <w:lvlJc w:val="left"/>
      <w:pPr>
        <w:tabs>
          <w:tab w:val="num" w:pos="5040"/>
        </w:tabs>
        <w:ind w:left="5040" w:hanging="360"/>
      </w:pPr>
      <w:rPr>
        <w:rFonts w:ascii="Wingdings" w:hAnsi="Wingdings" w:hint="default"/>
        <w:sz w:val="20"/>
      </w:rPr>
    </w:lvl>
    <w:lvl w:ilvl="7" w:tplc="76C00EA0">
      <w:start w:val="1"/>
      <w:numFmt w:val="bullet"/>
      <w:lvlText w:val=""/>
      <w:lvlJc w:val="left"/>
      <w:pPr>
        <w:tabs>
          <w:tab w:val="num" w:pos="5760"/>
        </w:tabs>
        <w:ind w:left="5760" w:hanging="360"/>
      </w:pPr>
      <w:rPr>
        <w:rFonts w:ascii="Wingdings" w:hAnsi="Wingdings" w:hint="default"/>
        <w:sz w:val="20"/>
      </w:rPr>
    </w:lvl>
    <w:lvl w:ilvl="8" w:tplc="7008536A">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14312797">
    <w:abstractNumId w:val="1"/>
  </w:num>
  <w:num w:numId="2" w16cid:durableId="61608328">
    <w:abstractNumId w:val="2"/>
  </w:num>
  <w:num w:numId="3" w16cid:durableId="1547765397">
    <w:abstractNumId w:val="3"/>
  </w:num>
  <w:num w:numId="4" w16cid:durableId="35751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02133"/>
    <w:rsid w:val="00003D82"/>
    <w:rsid w:val="00005F74"/>
    <w:rsid w:val="000062F9"/>
    <w:rsid w:val="00007FF2"/>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62831"/>
    <w:rsid w:val="00064775"/>
    <w:rsid w:val="00065A26"/>
    <w:rsid w:val="00070802"/>
    <w:rsid w:val="0007116F"/>
    <w:rsid w:val="00071873"/>
    <w:rsid w:val="00071EEB"/>
    <w:rsid w:val="000725FB"/>
    <w:rsid w:val="00075EDE"/>
    <w:rsid w:val="000819C1"/>
    <w:rsid w:val="0008353F"/>
    <w:rsid w:val="00083B73"/>
    <w:rsid w:val="00083F23"/>
    <w:rsid w:val="00085502"/>
    <w:rsid w:val="00085F09"/>
    <w:rsid w:val="000869EE"/>
    <w:rsid w:val="000A6A98"/>
    <w:rsid w:val="000A75DA"/>
    <w:rsid w:val="000B100B"/>
    <w:rsid w:val="000B13A5"/>
    <w:rsid w:val="000B168F"/>
    <w:rsid w:val="000B374E"/>
    <w:rsid w:val="000B4AA8"/>
    <w:rsid w:val="000B4D86"/>
    <w:rsid w:val="000C0256"/>
    <w:rsid w:val="000C672F"/>
    <w:rsid w:val="000D5C73"/>
    <w:rsid w:val="000D7310"/>
    <w:rsid w:val="000E0422"/>
    <w:rsid w:val="000E1612"/>
    <w:rsid w:val="000E2766"/>
    <w:rsid w:val="000E44DA"/>
    <w:rsid w:val="000E58A4"/>
    <w:rsid w:val="000E65AB"/>
    <w:rsid w:val="000E7485"/>
    <w:rsid w:val="000F1895"/>
    <w:rsid w:val="000F29AF"/>
    <w:rsid w:val="000F5526"/>
    <w:rsid w:val="000F5735"/>
    <w:rsid w:val="000F5D22"/>
    <w:rsid w:val="00103383"/>
    <w:rsid w:val="00110E77"/>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1340"/>
    <w:rsid w:val="00163032"/>
    <w:rsid w:val="00164180"/>
    <w:rsid w:val="00164A29"/>
    <w:rsid w:val="00167918"/>
    <w:rsid w:val="00171709"/>
    <w:rsid w:val="00172238"/>
    <w:rsid w:val="001748C2"/>
    <w:rsid w:val="001768CF"/>
    <w:rsid w:val="00181F48"/>
    <w:rsid w:val="00182A78"/>
    <w:rsid w:val="00183989"/>
    <w:rsid w:val="00187083"/>
    <w:rsid w:val="001870F8"/>
    <w:rsid w:val="00187251"/>
    <w:rsid w:val="0019066A"/>
    <w:rsid w:val="00195264"/>
    <w:rsid w:val="00195612"/>
    <w:rsid w:val="001A0203"/>
    <w:rsid w:val="001A13BA"/>
    <w:rsid w:val="001A16D3"/>
    <w:rsid w:val="001A521F"/>
    <w:rsid w:val="001A6571"/>
    <w:rsid w:val="001A65C1"/>
    <w:rsid w:val="001A6921"/>
    <w:rsid w:val="001A7332"/>
    <w:rsid w:val="001B1687"/>
    <w:rsid w:val="001B2EC3"/>
    <w:rsid w:val="001B54D3"/>
    <w:rsid w:val="001C0797"/>
    <w:rsid w:val="001C1EAE"/>
    <w:rsid w:val="001C3608"/>
    <w:rsid w:val="001C4581"/>
    <w:rsid w:val="001C6406"/>
    <w:rsid w:val="001C6DCC"/>
    <w:rsid w:val="001D046B"/>
    <w:rsid w:val="001D4FC7"/>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140B4"/>
    <w:rsid w:val="0022144C"/>
    <w:rsid w:val="00222A4F"/>
    <w:rsid w:val="002235B3"/>
    <w:rsid w:val="0022453C"/>
    <w:rsid w:val="002252D3"/>
    <w:rsid w:val="00231F98"/>
    <w:rsid w:val="00235157"/>
    <w:rsid w:val="00242BFB"/>
    <w:rsid w:val="002436CE"/>
    <w:rsid w:val="00246C58"/>
    <w:rsid w:val="002507C8"/>
    <w:rsid w:val="00251FAB"/>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2BD"/>
    <w:rsid w:val="002B36D3"/>
    <w:rsid w:val="002B3CD6"/>
    <w:rsid w:val="002B4131"/>
    <w:rsid w:val="002B661D"/>
    <w:rsid w:val="002B7BAC"/>
    <w:rsid w:val="002C13C5"/>
    <w:rsid w:val="002C1B6C"/>
    <w:rsid w:val="002C3754"/>
    <w:rsid w:val="002C40E9"/>
    <w:rsid w:val="002C6120"/>
    <w:rsid w:val="002D1C44"/>
    <w:rsid w:val="002D7A91"/>
    <w:rsid w:val="002E2756"/>
    <w:rsid w:val="002E41F1"/>
    <w:rsid w:val="002E59A9"/>
    <w:rsid w:val="002E61D0"/>
    <w:rsid w:val="002E793B"/>
    <w:rsid w:val="002F48A7"/>
    <w:rsid w:val="003028C8"/>
    <w:rsid w:val="0030349B"/>
    <w:rsid w:val="00303BD6"/>
    <w:rsid w:val="003045AE"/>
    <w:rsid w:val="0030501A"/>
    <w:rsid w:val="003063FB"/>
    <w:rsid w:val="003077F1"/>
    <w:rsid w:val="00311F6C"/>
    <w:rsid w:val="00313457"/>
    <w:rsid w:val="00313877"/>
    <w:rsid w:val="00321840"/>
    <w:rsid w:val="00323B5D"/>
    <w:rsid w:val="00326A6B"/>
    <w:rsid w:val="00327916"/>
    <w:rsid w:val="00331D32"/>
    <w:rsid w:val="00340800"/>
    <w:rsid w:val="00341A80"/>
    <w:rsid w:val="003421C9"/>
    <w:rsid w:val="00343FEA"/>
    <w:rsid w:val="0034682F"/>
    <w:rsid w:val="00351AF9"/>
    <w:rsid w:val="00352A80"/>
    <w:rsid w:val="003541F0"/>
    <w:rsid w:val="00356804"/>
    <w:rsid w:val="003573ED"/>
    <w:rsid w:val="003577E2"/>
    <w:rsid w:val="00363EDD"/>
    <w:rsid w:val="0036530E"/>
    <w:rsid w:val="003657A3"/>
    <w:rsid w:val="00365BFA"/>
    <w:rsid w:val="00373DC1"/>
    <w:rsid w:val="00377029"/>
    <w:rsid w:val="0038058D"/>
    <w:rsid w:val="00382D56"/>
    <w:rsid w:val="00386623"/>
    <w:rsid w:val="0038729D"/>
    <w:rsid w:val="00387943"/>
    <w:rsid w:val="00391744"/>
    <w:rsid w:val="00396985"/>
    <w:rsid w:val="003970E8"/>
    <w:rsid w:val="00397534"/>
    <w:rsid w:val="003A1CDB"/>
    <w:rsid w:val="003A1EB0"/>
    <w:rsid w:val="003A2A39"/>
    <w:rsid w:val="003A378A"/>
    <w:rsid w:val="003A7E95"/>
    <w:rsid w:val="003A7F10"/>
    <w:rsid w:val="003B20DE"/>
    <w:rsid w:val="003B2344"/>
    <w:rsid w:val="003B31F9"/>
    <w:rsid w:val="003B3D48"/>
    <w:rsid w:val="003B48B3"/>
    <w:rsid w:val="003B5BA3"/>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E79EA"/>
    <w:rsid w:val="003F46E7"/>
    <w:rsid w:val="003F60B4"/>
    <w:rsid w:val="0040002D"/>
    <w:rsid w:val="00401096"/>
    <w:rsid w:val="0040560B"/>
    <w:rsid w:val="0040727E"/>
    <w:rsid w:val="004138BE"/>
    <w:rsid w:val="00413CF0"/>
    <w:rsid w:val="00414689"/>
    <w:rsid w:val="00414CF6"/>
    <w:rsid w:val="004200E9"/>
    <w:rsid w:val="00421B87"/>
    <w:rsid w:val="00422497"/>
    <w:rsid w:val="00422FCF"/>
    <w:rsid w:val="004241A7"/>
    <w:rsid w:val="00426B72"/>
    <w:rsid w:val="004337D9"/>
    <w:rsid w:val="00435CF7"/>
    <w:rsid w:val="0044002C"/>
    <w:rsid w:val="00441B7D"/>
    <w:rsid w:val="0044404F"/>
    <w:rsid w:val="004442D3"/>
    <w:rsid w:val="00450286"/>
    <w:rsid w:val="00454463"/>
    <w:rsid w:val="00455B99"/>
    <w:rsid w:val="004578B3"/>
    <w:rsid w:val="00461F06"/>
    <w:rsid w:val="004625E6"/>
    <w:rsid w:val="00474F44"/>
    <w:rsid w:val="004764CE"/>
    <w:rsid w:val="0047737B"/>
    <w:rsid w:val="0048194F"/>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3E86"/>
    <w:rsid w:val="004D43B9"/>
    <w:rsid w:val="004D486D"/>
    <w:rsid w:val="004D6751"/>
    <w:rsid w:val="004E087D"/>
    <w:rsid w:val="004E3245"/>
    <w:rsid w:val="004F304C"/>
    <w:rsid w:val="004F49FB"/>
    <w:rsid w:val="004F4D30"/>
    <w:rsid w:val="005011F9"/>
    <w:rsid w:val="00502609"/>
    <w:rsid w:val="005064F1"/>
    <w:rsid w:val="00506C1D"/>
    <w:rsid w:val="00511EAA"/>
    <w:rsid w:val="005127AF"/>
    <w:rsid w:val="00512975"/>
    <w:rsid w:val="00515556"/>
    <w:rsid w:val="005158D6"/>
    <w:rsid w:val="00517806"/>
    <w:rsid w:val="00523E0B"/>
    <w:rsid w:val="005259D4"/>
    <w:rsid w:val="00525E57"/>
    <w:rsid w:val="00530ACF"/>
    <w:rsid w:val="00531765"/>
    <w:rsid w:val="00533011"/>
    <w:rsid w:val="00535BD8"/>
    <w:rsid w:val="005404E5"/>
    <w:rsid w:val="00544E83"/>
    <w:rsid w:val="00545ED3"/>
    <w:rsid w:val="00553749"/>
    <w:rsid w:val="005567E5"/>
    <w:rsid w:val="00557E33"/>
    <w:rsid w:val="005641C1"/>
    <w:rsid w:val="005655CC"/>
    <w:rsid w:val="0056789C"/>
    <w:rsid w:val="0057374F"/>
    <w:rsid w:val="00573996"/>
    <w:rsid w:val="005776A3"/>
    <w:rsid w:val="005816DC"/>
    <w:rsid w:val="00583F66"/>
    <w:rsid w:val="00587442"/>
    <w:rsid w:val="0058771D"/>
    <w:rsid w:val="00590F0C"/>
    <w:rsid w:val="00592145"/>
    <w:rsid w:val="00593221"/>
    <w:rsid w:val="005938BB"/>
    <w:rsid w:val="0059490C"/>
    <w:rsid w:val="0059736A"/>
    <w:rsid w:val="00597423"/>
    <w:rsid w:val="00597D82"/>
    <w:rsid w:val="005A1155"/>
    <w:rsid w:val="005A2252"/>
    <w:rsid w:val="005A55B5"/>
    <w:rsid w:val="005B61A5"/>
    <w:rsid w:val="005C6A7F"/>
    <w:rsid w:val="005D03F2"/>
    <w:rsid w:val="005D26BF"/>
    <w:rsid w:val="005D3D0D"/>
    <w:rsid w:val="005D4312"/>
    <w:rsid w:val="005D49EE"/>
    <w:rsid w:val="005E160F"/>
    <w:rsid w:val="005E42C1"/>
    <w:rsid w:val="005E59B0"/>
    <w:rsid w:val="005E5E87"/>
    <w:rsid w:val="005E6F04"/>
    <w:rsid w:val="005F541E"/>
    <w:rsid w:val="005F69D2"/>
    <w:rsid w:val="005F777B"/>
    <w:rsid w:val="005F7F05"/>
    <w:rsid w:val="005F7F83"/>
    <w:rsid w:val="00605380"/>
    <w:rsid w:val="00613C4F"/>
    <w:rsid w:val="006145DA"/>
    <w:rsid w:val="006151AF"/>
    <w:rsid w:val="00615A32"/>
    <w:rsid w:val="00621648"/>
    <w:rsid w:val="00622AF8"/>
    <w:rsid w:val="0062481D"/>
    <w:rsid w:val="006249C6"/>
    <w:rsid w:val="00624C5F"/>
    <w:rsid w:val="00624DB7"/>
    <w:rsid w:val="0063480E"/>
    <w:rsid w:val="00641545"/>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77AE2"/>
    <w:rsid w:val="00684DC4"/>
    <w:rsid w:val="00685D48"/>
    <w:rsid w:val="006865DD"/>
    <w:rsid w:val="0068709C"/>
    <w:rsid w:val="006871F8"/>
    <w:rsid w:val="00687EE0"/>
    <w:rsid w:val="00690310"/>
    <w:rsid w:val="00692D04"/>
    <w:rsid w:val="006937AE"/>
    <w:rsid w:val="0069480B"/>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777E"/>
    <w:rsid w:val="006C78FA"/>
    <w:rsid w:val="006E0EBB"/>
    <w:rsid w:val="006E171C"/>
    <w:rsid w:val="006E26BE"/>
    <w:rsid w:val="006F275B"/>
    <w:rsid w:val="006F38E3"/>
    <w:rsid w:val="006F4D1D"/>
    <w:rsid w:val="006F4E51"/>
    <w:rsid w:val="006F6F14"/>
    <w:rsid w:val="0070354D"/>
    <w:rsid w:val="00703FF4"/>
    <w:rsid w:val="0070676F"/>
    <w:rsid w:val="00706E74"/>
    <w:rsid w:val="0071309E"/>
    <w:rsid w:val="007170BE"/>
    <w:rsid w:val="00720BEB"/>
    <w:rsid w:val="00723AB3"/>
    <w:rsid w:val="0072560B"/>
    <w:rsid w:val="00727405"/>
    <w:rsid w:val="0073131B"/>
    <w:rsid w:val="00731634"/>
    <w:rsid w:val="007347FD"/>
    <w:rsid w:val="00735733"/>
    <w:rsid w:val="0073638B"/>
    <w:rsid w:val="00742C6D"/>
    <w:rsid w:val="00742F26"/>
    <w:rsid w:val="0074569C"/>
    <w:rsid w:val="00746268"/>
    <w:rsid w:val="00746561"/>
    <w:rsid w:val="00746956"/>
    <w:rsid w:val="007509A1"/>
    <w:rsid w:val="00750E31"/>
    <w:rsid w:val="007523FB"/>
    <w:rsid w:val="007543C9"/>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0844"/>
    <w:rsid w:val="007F3757"/>
    <w:rsid w:val="007F4EB6"/>
    <w:rsid w:val="007F740C"/>
    <w:rsid w:val="008008EB"/>
    <w:rsid w:val="00801325"/>
    <w:rsid w:val="00801B89"/>
    <w:rsid w:val="00803E17"/>
    <w:rsid w:val="00804B60"/>
    <w:rsid w:val="008067FE"/>
    <w:rsid w:val="00810B8D"/>
    <w:rsid w:val="00813770"/>
    <w:rsid w:val="008159D1"/>
    <w:rsid w:val="00817917"/>
    <w:rsid w:val="00821058"/>
    <w:rsid w:val="0082404B"/>
    <w:rsid w:val="00831A87"/>
    <w:rsid w:val="00836C73"/>
    <w:rsid w:val="00841023"/>
    <w:rsid w:val="00842E4F"/>
    <w:rsid w:val="00843B90"/>
    <w:rsid w:val="00843BF2"/>
    <w:rsid w:val="00845647"/>
    <w:rsid w:val="00850866"/>
    <w:rsid w:val="00853112"/>
    <w:rsid w:val="0085558D"/>
    <w:rsid w:val="008573FF"/>
    <w:rsid w:val="008607A4"/>
    <w:rsid w:val="00861267"/>
    <w:rsid w:val="00862E84"/>
    <w:rsid w:val="00876C48"/>
    <w:rsid w:val="008775DC"/>
    <w:rsid w:val="00877E0E"/>
    <w:rsid w:val="008825B5"/>
    <w:rsid w:val="00882D97"/>
    <w:rsid w:val="00886E84"/>
    <w:rsid w:val="00894B77"/>
    <w:rsid w:val="008951E1"/>
    <w:rsid w:val="008A2386"/>
    <w:rsid w:val="008A58A9"/>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1180"/>
    <w:rsid w:val="00903D24"/>
    <w:rsid w:val="009102EE"/>
    <w:rsid w:val="0091100A"/>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5E17"/>
    <w:rsid w:val="00940C11"/>
    <w:rsid w:val="00941092"/>
    <w:rsid w:val="00941D0A"/>
    <w:rsid w:val="009428AF"/>
    <w:rsid w:val="00944B7D"/>
    <w:rsid w:val="0094592F"/>
    <w:rsid w:val="00945F0B"/>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D153A"/>
    <w:rsid w:val="009E0C7A"/>
    <w:rsid w:val="009E1514"/>
    <w:rsid w:val="009E2674"/>
    <w:rsid w:val="009E4B9E"/>
    <w:rsid w:val="009E5B58"/>
    <w:rsid w:val="009E68C0"/>
    <w:rsid w:val="009E73DE"/>
    <w:rsid w:val="009E7DC0"/>
    <w:rsid w:val="009E7E4A"/>
    <w:rsid w:val="009F0D22"/>
    <w:rsid w:val="009F5917"/>
    <w:rsid w:val="00A00293"/>
    <w:rsid w:val="00A02582"/>
    <w:rsid w:val="00A06DE5"/>
    <w:rsid w:val="00A07C63"/>
    <w:rsid w:val="00A10A54"/>
    <w:rsid w:val="00A10E96"/>
    <w:rsid w:val="00A117A7"/>
    <w:rsid w:val="00A11DF2"/>
    <w:rsid w:val="00A131D9"/>
    <w:rsid w:val="00A131E7"/>
    <w:rsid w:val="00A13E8D"/>
    <w:rsid w:val="00A14755"/>
    <w:rsid w:val="00A163BF"/>
    <w:rsid w:val="00A20E61"/>
    <w:rsid w:val="00A2278C"/>
    <w:rsid w:val="00A2589F"/>
    <w:rsid w:val="00A26D0B"/>
    <w:rsid w:val="00A271BA"/>
    <w:rsid w:val="00A32013"/>
    <w:rsid w:val="00A32CAF"/>
    <w:rsid w:val="00A346B3"/>
    <w:rsid w:val="00A34856"/>
    <w:rsid w:val="00A34887"/>
    <w:rsid w:val="00A350F5"/>
    <w:rsid w:val="00A371E2"/>
    <w:rsid w:val="00A42B30"/>
    <w:rsid w:val="00A43C54"/>
    <w:rsid w:val="00A44D46"/>
    <w:rsid w:val="00A450FE"/>
    <w:rsid w:val="00A478E3"/>
    <w:rsid w:val="00A5001E"/>
    <w:rsid w:val="00A554D4"/>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6603"/>
    <w:rsid w:val="00A97AE0"/>
    <w:rsid w:val="00AA2E6E"/>
    <w:rsid w:val="00AA392F"/>
    <w:rsid w:val="00AA7D34"/>
    <w:rsid w:val="00AB155E"/>
    <w:rsid w:val="00AB1C29"/>
    <w:rsid w:val="00AB2535"/>
    <w:rsid w:val="00AB46AD"/>
    <w:rsid w:val="00AC04C2"/>
    <w:rsid w:val="00AC0C1C"/>
    <w:rsid w:val="00AC16D5"/>
    <w:rsid w:val="00AC287D"/>
    <w:rsid w:val="00AC302E"/>
    <w:rsid w:val="00AC5C82"/>
    <w:rsid w:val="00AC5D6A"/>
    <w:rsid w:val="00AD1308"/>
    <w:rsid w:val="00AD24CA"/>
    <w:rsid w:val="00AE10DA"/>
    <w:rsid w:val="00AE392A"/>
    <w:rsid w:val="00AE4CD1"/>
    <w:rsid w:val="00AE572F"/>
    <w:rsid w:val="00AE5856"/>
    <w:rsid w:val="00AF0B7F"/>
    <w:rsid w:val="00AF17EC"/>
    <w:rsid w:val="00AF21CF"/>
    <w:rsid w:val="00AF488C"/>
    <w:rsid w:val="00B00332"/>
    <w:rsid w:val="00B00BC1"/>
    <w:rsid w:val="00B0246E"/>
    <w:rsid w:val="00B04E31"/>
    <w:rsid w:val="00B059EE"/>
    <w:rsid w:val="00B13BB2"/>
    <w:rsid w:val="00B15065"/>
    <w:rsid w:val="00B16E6E"/>
    <w:rsid w:val="00B20864"/>
    <w:rsid w:val="00B21738"/>
    <w:rsid w:val="00B272F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0292"/>
    <w:rsid w:val="00B83938"/>
    <w:rsid w:val="00B84C4F"/>
    <w:rsid w:val="00B84E34"/>
    <w:rsid w:val="00B85880"/>
    <w:rsid w:val="00B8754B"/>
    <w:rsid w:val="00B915CA"/>
    <w:rsid w:val="00B92DA8"/>
    <w:rsid w:val="00B945AA"/>
    <w:rsid w:val="00B9539B"/>
    <w:rsid w:val="00BA3961"/>
    <w:rsid w:val="00BA60A7"/>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E61"/>
    <w:rsid w:val="00BF4FD6"/>
    <w:rsid w:val="00BF5B01"/>
    <w:rsid w:val="00C06AD9"/>
    <w:rsid w:val="00C06F98"/>
    <w:rsid w:val="00C07290"/>
    <w:rsid w:val="00C07A6C"/>
    <w:rsid w:val="00C118B0"/>
    <w:rsid w:val="00C16962"/>
    <w:rsid w:val="00C16977"/>
    <w:rsid w:val="00C211D8"/>
    <w:rsid w:val="00C23B96"/>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7904"/>
    <w:rsid w:val="00C726F5"/>
    <w:rsid w:val="00C80E25"/>
    <w:rsid w:val="00C82C60"/>
    <w:rsid w:val="00C842CB"/>
    <w:rsid w:val="00C85503"/>
    <w:rsid w:val="00C85965"/>
    <w:rsid w:val="00C86B86"/>
    <w:rsid w:val="00C86F4F"/>
    <w:rsid w:val="00C8750C"/>
    <w:rsid w:val="00C91672"/>
    <w:rsid w:val="00C94C6D"/>
    <w:rsid w:val="00CA0621"/>
    <w:rsid w:val="00CA093A"/>
    <w:rsid w:val="00CA1417"/>
    <w:rsid w:val="00CA3F5E"/>
    <w:rsid w:val="00CA72F1"/>
    <w:rsid w:val="00CC06CB"/>
    <w:rsid w:val="00CC1244"/>
    <w:rsid w:val="00CC1C20"/>
    <w:rsid w:val="00CC2CBB"/>
    <w:rsid w:val="00CC2FF5"/>
    <w:rsid w:val="00CC3FEF"/>
    <w:rsid w:val="00CC789C"/>
    <w:rsid w:val="00CD0D20"/>
    <w:rsid w:val="00CD1858"/>
    <w:rsid w:val="00CD42E1"/>
    <w:rsid w:val="00CE01A8"/>
    <w:rsid w:val="00CE1D87"/>
    <w:rsid w:val="00CE3868"/>
    <w:rsid w:val="00CE4D93"/>
    <w:rsid w:val="00CF0D73"/>
    <w:rsid w:val="00CF2CA8"/>
    <w:rsid w:val="00CF33DF"/>
    <w:rsid w:val="00CF437D"/>
    <w:rsid w:val="00D02214"/>
    <w:rsid w:val="00D02221"/>
    <w:rsid w:val="00D02798"/>
    <w:rsid w:val="00D040E0"/>
    <w:rsid w:val="00D061B2"/>
    <w:rsid w:val="00D06590"/>
    <w:rsid w:val="00D117A2"/>
    <w:rsid w:val="00D12E75"/>
    <w:rsid w:val="00D147B4"/>
    <w:rsid w:val="00D15534"/>
    <w:rsid w:val="00D160C0"/>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54A7F"/>
    <w:rsid w:val="00D60BB2"/>
    <w:rsid w:val="00D62005"/>
    <w:rsid w:val="00D620D6"/>
    <w:rsid w:val="00D6323E"/>
    <w:rsid w:val="00D6381B"/>
    <w:rsid w:val="00D66BF4"/>
    <w:rsid w:val="00D7005C"/>
    <w:rsid w:val="00D70AE7"/>
    <w:rsid w:val="00D711AF"/>
    <w:rsid w:val="00D73713"/>
    <w:rsid w:val="00D741BC"/>
    <w:rsid w:val="00D8087A"/>
    <w:rsid w:val="00D90B35"/>
    <w:rsid w:val="00D92D35"/>
    <w:rsid w:val="00D936B8"/>
    <w:rsid w:val="00D9635A"/>
    <w:rsid w:val="00D968BA"/>
    <w:rsid w:val="00DA417F"/>
    <w:rsid w:val="00DA4229"/>
    <w:rsid w:val="00DA7126"/>
    <w:rsid w:val="00DB0C19"/>
    <w:rsid w:val="00DB17CB"/>
    <w:rsid w:val="00DB3B04"/>
    <w:rsid w:val="00DB5A7A"/>
    <w:rsid w:val="00DC0673"/>
    <w:rsid w:val="00DC21A5"/>
    <w:rsid w:val="00DC2E6A"/>
    <w:rsid w:val="00DC35C5"/>
    <w:rsid w:val="00DC3691"/>
    <w:rsid w:val="00DC470E"/>
    <w:rsid w:val="00DD107F"/>
    <w:rsid w:val="00DD1469"/>
    <w:rsid w:val="00DD1783"/>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0A42"/>
    <w:rsid w:val="00E144EC"/>
    <w:rsid w:val="00E156B1"/>
    <w:rsid w:val="00E21325"/>
    <w:rsid w:val="00E21933"/>
    <w:rsid w:val="00E23205"/>
    <w:rsid w:val="00E267FA"/>
    <w:rsid w:val="00E274B0"/>
    <w:rsid w:val="00E34E8B"/>
    <w:rsid w:val="00E41A62"/>
    <w:rsid w:val="00E42F3F"/>
    <w:rsid w:val="00E4361E"/>
    <w:rsid w:val="00E539AB"/>
    <w:rsid w:val="00E54762"/>
    <w:rsid w:val="00E55DD7"/>
    <w:rsid w:val="00E56AAD"/>
    <w:rsid w:val="00E60241"/>
    <w:rsid w:val="00E6225E"/>
    <w:rsid w:val="00E67858"/>
    <w:rsid w:val="00E715B2"/>
    <w:rsid w:val="00E71CAF"/>
    <w:rsid w:val="00E77777"/>
    <w:rsid w:val="00E77F3D"/>
    <w:rsid w:val="00E801EC"/>
    <w:rsid w:val="00E81989"/>
    <w:rsid w:val="00E82CB6"/>
    <w:rsid w:val="00E83369"/>
    <w:rsid w:val="00E84969"/>
    <w:rsid w:val="00E84B76"/>
    <w:rsid w:val="00E8621B"/>
    <w:rsid w:val="00E86A4C"/>
    <w:rsid w:val="00E95A66"/>
    <w:rsid w:val="00E96C1D"/>
    <w:rsid w:val="00EA0678"/>
    <w:rsid w:val="00EA160C"/>
    <w:rsid w:val="00EA2765"/>
    <w:rsid w:val="00EA2CEB"/>
    <w:rsid w:val="00EA47EA"/>
    <w:rsid w:val="00EA526E"/>
    <w:rsid w:val="00EA71DE"/>
    <w:rsid w:val="00EB0037"/>
    <w:rsid w:val="00EB77C4"/>
    <w:rsid w:val="00EC0873"/>
    <w:rsid w:val="00EC4418"/>
    <w:rsid w:val="00EC671B"/>
    <w:rsid w:val="00EC6A0F"/>
    <w:rsid w:val="00EC73D1"/>
    <w:rsid w:val="00EC7653"/>
    <w:rsid w:val="00ED0A38"/>
    <w:rsid w:val="00ED11A8"/>
    <w:rsid w:val="00ED1AF3"/>
    <w:rsid w:val="00ED3A8D"/>
    <w:rsid w:val="00ED77F9"/>
    <w:rsid w:val="00ED78D7"/>
    <w:rsid w:val="00ED7CE3"/>
    <w:rsid w:val="00EE0110"/>
    <w:rsid w:val="00EE0566"/>
    <w:rsid w:val="00EE09B9"/>
    <w:rsid w:val="00EE3D7D"/>
    <w:rsid w:val="00EE4A40"/>
    <w:rsid w:val="00EE5261"/>
    <w:rsid w:val="00EF2F81"/>
    <w:rsid w:val="00F05CD5"/>
    <w:rsid w:val="00F1425A"/>
    <w:rsid w:val="00F16E0F"/>
    <w:rsid w:val="00F1702B"/>
    <w:rsid w:val="00F179B3"/>
    <w:rsid w:val="00F17E27"/>
    <w:rsid w:val="00F20E76"/>
    <w:rsid w:val="00F21D82"/>
    <w:rsid w:val="00F24CBA"/>
    <w:rsid w:val="00F30D0A"/>
    <w:rsid w:val="00F36575"/>
    <w:rsid w:val="00F3708C"/>
    <w:rsid w:val="00F41C55"/>
    <w:rsid w:val="00F4696A"/>
    <w:rsid w:val="00F527A5"/>
    <w:rsid w:val="00F56577"/>
    <w:rsid w:val="00F56C2B"/>
    <w:rsid w:val="00F63FE1"/>
    <w:rsid w:val="00F653E0"/>
    <w:rsid w:val="00F74D7C"/>
    <w:rsid w:val="00F82331"/>
    <w:rsid w:val="00F824E1"/>
    <w:rsid w:val="00F827AF"/>
    <w:rsid w:val="00F82E1C"/>
    <w:rsid w:val="00F85516"/>
    <w:rsid w:val="00F86215"/>
    <w:rsid w:val="00F90B65"/>
    <w:rsid w:val="00F96BCC"/>
    <w:rsid w:val="00F96ECD"/>
    <w:rsid w:val="00FA247B"/>
    <w:rsid w:val="00FA2FB8"/>
    <w:rsid w:val="00FA47C2"/>
    <w:rsid w:val="00FA4C7F"/>
    <w:rsid w:val="00FA5AE0"/>
    <w:rsid w:val="00FB1B17"/>
    <w:rsid w:val="00FB2206"/>
    <w:rsid w:val="00FB6302"/>
    <w:rsid w:val="00FB7791"/>
    <w:rsid w:val="00FC19BC"/>
    <w:rsid w:val="00FC1E57"/>
    <w:rsid w:val="00FC31B1"/>
    <w:rsid w:val="00FC4958"/>
    <w:rsid w:val="00FC64B5"/>
    <w:rsid w:val="00FC6B68"/>
    <w:rsid w:val="00FC7FF0"/>
    <w:rsid w:val="00FD1A2F"/>
    <w:rsid w:val="00FD544B"/>
    <w:rsid w:val="00FE4B51"/>
    <w:rsid w:val="00FE4B5A"/>
    <w:rsid w:val="00FE5A9A"/>
    <w:rsid w:val="00FF3B86"/>
    <w:rsid w:val="00FF412B"/>
    <w:rsid w:val="00FF5B0B"/>
    <w:rsid w:val="00FF663E"/>
    <w:rsid w:val="03CD7FF8"/>
    <w:rsid w:val="07FB6A9D"/>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672C9795"/>
    <w:rsid w:val="7251A624"/>
    <w:rsid w:val="73BDD992"/>
    <w:rsid w:val="767388C6"/>
    <w:rsid w:val="77B48C6C"/>
    <w:rsid w:val="791F3BE8"/>
    <w:rsid w:val="7DE51B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E1B3C"/>
  <w15:docId w15:val="{92C2E51F-5537-FA45-ADC3-ED8A3053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419"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44"/>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rsid w:val="00AE392A"/>
    <w:rPr>
      <w:rFonts w:cs="Times New Roman"/>
      <w:sz w:val="16"/>
      <w:szCs w:val="16"/>
    </w:rPr>
  </w:style>
  <w:style w:type="paragraph" w:styleId="CommentText">
    <w:name w:val="annotation text"/>
    <w:basedOn w:val="Normal"/>
    <w:link w:val="CommentTextChar"/>
    <w:rsid w:val="00AE392A"/>
    <w:rPr>
      <w:sz w:val="20"/>
      <w:szCs w:val="20"/>
    </w:rPr>
  </w:style>
  <w:style w:type="character" w:customStyle="1" w:styleId="CommentTextChar">
    <w:name w:val="Comment Text Char"/>
    <w:basedOn w:val="DefaultParagraphFont"/>
    <w:link w:val="CommentText"/>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419"/>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styleId="Strong">
    <w:name w:val="Strong"/>
    <w:basedOn w:val="DefaultParagraphFont"/>
    <w:uiPriority w:val="22"/>
    <w:rsid w:val="00C86B86"/>
    <w:rPr>
      <w:b/>
    </w:rPr>
  </w:style>
  <w:style w:type="paragraph" w:customStyle="1" w:styleId="paragraph">
    <w:name w:val="paragraph"/>
    <w:basedOn w:val="Normal"/>
    <w:rsid w:val="002D7A91"/>
    <w:pPr>
      <w:spacing w:before="100" w:beforeAutospacing="1" w:after="100" w:afterAutospacing="1"/>
    </w:pPr>
    <w:rPr>
      <w:lang w:eastAsia="zh-CN"/>
    </w:rPr>
  </w:style>
  <w:style w:type="character" w:customStyle="1" w:styleId="eop">
    <w:name w:val="eop"/>
    <w:basedOn w:val="DefaultParagraphFont"/>
    <w:rsid w:val="002D7A91"/>
  </w:style>
  <w:style w:type="character" w:customStyle="1" w:styleId="normaltextrun">
    <w:name w:val="normaltextrun"/>
    <w:basedOn w:val="DefaultParagraphFont"/>
    <w:rsid w:val="002D7A91"/>
  </w:style>
  <w:style w:type="character" w:customStyle="1" w:styleId="UnresolvedMention1">
    <w:name w:val="Unresolved Mention1"/>
    <w:basedOn w:val="DefaultParagraphFont"/>
    <w:uiPriority w:val="99"/>
    <w:semiHidden/>
    <w:unhideWhenUsed/>
    <w:rsid w:val="002E59A9"/>
    <w:rPr>
      <w:color w:val="605E5C"/>
      <w:shd w:val="clear" w:color="auto" w:fill="E1DFDD"/>
    </w:rPr>
  </w:style>
  <w:style w:type="paragraph" w:styleId="Revision">
    <w:name w:val="Revision"/>
    <w:hidden/>
    <w:semiHidden/>
    <w:rsid w:val="00214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02863099">
      <w:bodyDiv w:val="1"/>
      <w:marLeft w:val="0"/>
      <w:marRight w:val="0"/>
      <w:marTop w:val="0"/>
      <w:marBottom w:val="0"/>
      <w:divBdr>
        <w:top w:val="none" w:sz="0" w:space="0" w:color="auto"/>
        <w:left w:val="none" w:sz="0" w:space="0" w:color="auto"/>
        <w:bottom w:val="none" w:sz="0" w:space="0" w:color="auto"/>
        <w:right w:val="none" w:sz="0" w:space="0" w:color="auto"/>
      </w:divBdr>
      <w:divsChild>
        <w:div w:id="490415874">
          <w:marLeft w:val="0"/>
          <w:marRight w:val="0"/>
          <w:marTop w:val="0"/>
          <w:marBottom w:val="0"/>
          <w:divBdr>
            <w:top w:val="none" w:sz="0" w:space="0" w:color="auto"/>
            <w:left w:val="none" w:sz="0" w:space="0" w:color="auto"/>
            <w:bottom w:val="none" w:sz="0" w:space="0" w:color="auto"/>
            <w:right w:val="none" w:sz="0" w:space="0" w:color="auto"/>
          </w:divBdr>
        </w:div>
        <w:div w:id="1268081210">
          <w:marLeft w:val="0"/>
          <w:marRight w:val="0"/>
          <w:marTop w:val="0"/>
          <w:marBottom w:val="0"/>
          <w:divBdr>
            <w:top w:val="none" w:sz="0" w:space="0" w:color="auto"/>
            <w:left w:val="none" w:sz="0" w:space="0" w:color="auto"/>
            <w:bottom w:val="none" w:sz="0" w:space="0" w:color="auto"/>
            <w:right w:val="none" w:sz="0" w:space="0" w:color="auto"/>
          </w:divBdr>
        </w:div>
        <w:div w:id="1805342455">
          <w:marLeft w:val="0"/>
          <w:marRight w:val="0"/>
          <w:marTop w:val="0"/>
          <w:marBottom w:val="0"/>
          <w:divBdr>
            <w:top w:val="none" w:sz="0" w:space="0" w:color="auto"/>
            <w:left w:val="none" w:sz="0" w:space="0" w:color="auto"/>
            <w:bottom w:val="none" w:sz="0" w:space="0" w:color="auto"/>
            <w:right w:val="none" w:sz="0" w:space="0" w:color="auto"/>
          </w:divBdr>
        </w:div>
        <w:div w:id="1849101524">
          <w:marLeft w:val="0"/>
          <w:marRight w:val="0"/>
          <w:marTop w:val="0"/>
          <w:marBottom w:val="0"/>
          <w:divBdr>
            <w:top w:val="none" w:sz="0" w:space="0" w:color="auto"/>
            <w:left w:val="none" w:sz="0" w:space="0" w:color="auto"/>
            <w:bottom w:val="none" w:sz="0" w:space="0" w:color="auto"/>
            <w:right w:val="none" w:sz="0" w:space="0" w:color="auto"/>
          </w:divBdr>
        </w:div>
        <w:div w:id="1875923900">
          <w:marLeft w:val="0"/>
          <w:marRight w:val="0"/>
          <w:marTop w:val="0"/>
          <w:marBottom w:val="0"/>
          <w:divBdr>
            <w:top w:val="none" w:sz="0" w:space="0" w:color="auto"/>
            <w:left w:val="none" w:sz="0" w:space="0" w:color="auto"/>
            <w:bottom w:val="none" w:sz="0" w:space="0" w:color="auto"/>
            <w:right w:val="none" w:sz="0" w:space="0" w:color="auto"/>
          </w:divBdr>
        </w:div>
        <w:div w:id="2105376505">
          <w:marLeft w:val="0"/>
          <w:marRight w:val="0"/>
          <w:marTop w:val="0"/>
          <w:marBottom w:val="0"/>
          <w:divBdr>
            <w:top w:val="none" w:sz="0" w:space="0" w:color="auto"/>
            <w:left w:val="none" w:sz="0" w:space="0" w:color="auto"/>
            <w:bottom w:val="none" w:sz="0" w:space="0" w:color="auto"/>
            <w:right w:val="none" w:sz="0" w:space="0" w:color="auto"/>
          </w:divBdr>
        </w:div>
      </w:divsChild>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43726313">
      <w:bodyDiv w:val="1"/>
      <w:marLeft w:val="0"/>
      <w:marRight w:val="0"/>
      <w:marTop w:val="0"/>
      <w:marBottom w:val="0"/>
      <w:divBdr>
        <w:top w:val="none" w:sz="0" w:space="0" w:color="auto"/>
        <w:left w:val="none" w:sz="0" w:space="0" w:color="auto"/>
        <w:bottom w:val="none" w:sz="0" w:space="0" w:color="auto"/>
        <w:right w:val="none" w:sz="0" w:space="0" w:color="auto"/>
      </w:divBdr>
      <w:divsChild>
        <w:div w:id="307173109">
          <w:marLeft w:val="0"/>
          <w:marRight w:val="0"/>
          <w:marTop w:val="0"/>
          <w:marBottom w:val="0"/>
          <w:divBdr>
            <w:top w:val="none" w:sz="0" w:space="0" w:color="auto"/>
            <w:left w:val="none" w:sz="0" w:space="0" w:color="auto"/>
            <w:bottom w:val="none" w:sz="0" w:space="0" w:color="auto"/>
            <w:right w:val="none" w:sz="0" w:space="0" w:color="auto"/>
          </w:divBdr>
        </w:div>
        <w:div w:id="1130048808">
          <w:marLeft w:val="0"/>
          <w:marRight w:val="0"/>
          <w:marTop w:val="0"/>
          <w:marBottom w:val="0"/>
          <w:divBdr>
            <w:top w:val="none" w:sz="0" w:space="0" w:color="auto"/>
            <w:left w:val="none" w:sz="0" w:space="0" w:color="auto"/>
            <w:bottom w:val="none" w:sz="0" w:space="0" w:color="auto"/>
            <w:right w:val="none" w:sz="0" w:space="0" w:color="auto"/>
          </w:divBdr>
        </w:div>
        <w:div w:id="1514803984">
          <w:marLeft w:val="0"/>
          <w:marRight w:val="0"/>
          <w:marTop w:val="0"/>
          <w:marBottom w:val="0"/>
          <w:divBdr>
            <w:top w:val="none" w:sz="0" w:space="0" w:color="auto"/>
            <w:left w:val="none" w:sz="0" w:space="0" w:color="auto"/>
            <w:bottom w:val="none" w:sz="0" w:space="0" w:color="auto"/>
            <w:right w:val="none" w:sz="0" w:space="0" w:color="auto"/>
          </w:divBdr>
        </w:div>
        <w:div w:id="1634600111">
          <w:marLeft w:val="0"/>
          <w:marRight w:val="0"/>
          <w:marTop w:val="0"/>
          <w:marBottom w:val="0"/>
          <w:divBdr>
            <w:top w:val="none" w:sz="0" w:space="0" w:color="auto"/>
            <w:left w:val="none" w:sz="0" w:space="0" w:color="auto"/>
            <w:bottom w:val="none" w:sz="0" w:space="0" w:color="auto"/>
            <w:right w:val="none" w:sz="0" w:space="0" w:color="auto"/>
          </w:divBdr>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es/grove/gruas-todo-terren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itowoc.com/es/empresa/noticias/manitowoc-presenta-la-solucion-digital-grove-y-potain-conn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nitowoc.com/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a.heim@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A9EDD-E67C-4DFE-818C-B5A6AA4B0230}">
  <ds:schemaRefs>
    <ds:schemaRef ds:uri="http://schemas.openxmlformats.org/officeDocument/2006/bibliography"/>
  </ds:schemaRefs>
</ds:datastoreItem>
</file>

<file path=customXml/itemProps2.xml><?xml version="1.0" encoding="utf-8"?>
<ds:datastoreItem xmlns:ds="http://schemas.openxmlformats.org/officeDocument/2006/customXml" ds:itemID="{D7317B75-3582-453B-83AE-107500CF8A17}">
  <ds:schemaRefs>
    <ds:schemaRef ds:uri="http://schemas.microsoft.com/sharepoint/v3/contenttype/forms"/>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FDC3D48B-9CDB-42DE-8548-F56CD86D7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5986</Characters>
  <Application>Microsoft Office Word</Application>
  <DocSecurity>0</DocSecurity>
  <Lines>49</Lines>
  <Paragraphs>14</Paragraphs>
  <ScaleCrop>false</ScaleCrop>
  <Company>Lippincott Mercer</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2</cp:revision>
  <dcterms:created xsi:type="dcterms:W3CDTF">2022-10-25T16:10:00Z</dcterms:created>
  <dcterms:modified xsi:type="dcterms:W3CDTF">2022-10-25T16:10:00Z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GrammarlyDocumentId">
    <vt:lpwstr>c806510f71612b522af375185668b2f66f33f63c6354edcf5d3e8ad3c64e80b9</vt:lpwstr>
  </property>
  <property fmtid="{D5CDD505-2E9C-101B-9397-08002B2CF9AE}" pid="4" name="MediaServiceImageTags">
    <vt:lpwstr/>
  </property>
</Properties>
</file>