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BF096" w14:textId="77777777" w:rsidR="00962FB8" w:rsidRDefault="00736E93">
      <w:pPr>
        <w:pStyle w:val="Normal1"/>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 xml:space="preserve">  COMUNICADO DE PRENSA</w:t>
      </w:r>
      <w:r>
        <w:rPr>
          <w:noProof/>
        </w:rPr>
        <w:drawing>
          <wp:anchor distT="0" distB="0" distL="114300" distR="114300" simplePos="0" relativeHeight="251658240" behindDoc="0" locked="0" layoutInCell="1" hidden="0" allowOverlap="1" wp14:anchorId="1B4A091D" wp14:editId="024C6C97">
            <wp:simplePos x="0" y="0"/>
            <wp:positionH relativeFrom="column">
              <wp:posOffset>-43179</wp:posOffset>
            </wp:positionH>
            <wp:positionV relativeFrom="paragraph">
              <wp:posOffset>-39045</wp:posOffset>
            </wp:positionV>
            <wp:extent cx="1485900" cy="34671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485900" cy="346710"/>
                    </a:xfrm>
                    <a:prstGeom prst="rect">
                      <a:avLst/>
                    </a:prstGeom>
                    <a:ln/>
                  </pic:spPr>
                </pic:pic>
              </a:graphicData>
            </a:graphic>
          </wp:anchor>
        </w:drawing>
      </w:r>
    </w:p>
    <w:p w14:paraId="5829AB25" w14:textId="77777777" w:rsidR="00962FB8" w:rsidRDefault="00736E93">
      <w:pPr>
        <w:pStyle w:val="Normal1"/>
        <w:spacing w:line="276" w:lineRule="auto"/>
        <w:jc w:val="right"/>
        <w:rPr>
          <w:rFonts w:ascii="Verdana" w:eastAsia="Verdana" w:hAnsi="Verdana" w:cs="Verdana"/>
          <w:color w:val="ED1C2A"/>
          <w:sz w:val="18"/>
          <w:szCs w:val="18"/>
        </w:rPr>
      </w:pPr>
      <w:r>
        <w:rPr>
          <w:rFonts w:ascii="Verdana" w:hAnsi="Verdana"/>
          <w:color w:val="41525C"/>
          <w:sz w:val="18"/>
          <w:szCs w:val="18"/>
        </w:rPr>
        <w:t>10 de marzo de 2020</w:t>
      </w:r>
    </w:p>
    <w:p w14:paraId="51977FA2" w14:textId="77777777" w:rsidR="00962FB8" w:rsidRDefault="00962FB8">
      <w:pPr>
        <w:pStyle w:val="Normal1"/>
        <w:spacing w:line="276" w:lineRule="auto"/>
        <w:rPr>
          <w:rFonts w:ascii="Verdana" w:eastAsia="Verdana" w:hAnsi="Verdana" w:cs="Verdana"/>
          <w:color w:val="ED1C2A"/>
          <w:sz w:val="30"/>
          <w:szCs w:val="30"/>
        </w:rPr>
      </w:pPr>
    </w:p>
    <w:p w14:paraId="3C0857D9" w14:textId="77777777" w:rsidR="00962FB8" w:rsidRDefault="00962FB8">
      <w:pPr>
        <w:pStyle w:val="Normal1"/>
        <w:tabs>
          <w:tab w:val="left" w:pos="6096"/>
        </w:tabs>
        <w:spacing w:line="276" w:lineRule="auto"/>
        <w:rPr>
          <w:rFonts w:ascii="Verdana" w:eastAsia="Verdana" w:hAnsi="Verdana" w:cs="Verdana"/>
          <w:color w:val="ED1C2A"/>
          <w:sz w:val="30"/>
          <w:szCs w:val="30"/>
        </w:rPr>
      </w:pPr>
    </w:p>
    <w:p w14:paraId="271EEC30" w14:textId="77777777" w:rsidR="00962FB8" w:rsidRDefault="00CC50D3">
      <w:pPr>
        <w:pStyle w:val="Normal1"/>
        <w:spacing w:line="276" w:lineRule="auto"/>
        <w:rPr>
          <w:rFonts w:ascii="Georgia" w:eastAsia="Georgia" w:hAnsi="Georgia" w:cs="Georgia"/>
          <w:b/>
          <w:sz w:val="28"/>
          <w:szCs w:val="28"/>
        </w:rPr>
      </w:pPr>
      <w:bookmarkStart w:id="0" w:name="_gjdgxs"/>
      <w:bookmarkEnd w:id="0"/>
      <w:r>
        <w:rPr>
          <w:rFonts w:ascii="Georgia" w:hAnsi="Georgia"/>
          <w:b/>
          <w:sz w:val="28"/>
          <w:szCs w:val="28"/>
        </w:rPr>
        <w:t>Manitowoc anuncia la nueva Potain MDT 569 en CONEXPO 2020</w:t>
      </w:r>
    </w:p>
    <w:p w14:paraId="6857A46F" w14:textId="77777777" w:rsidR="00962FB8" w:rsidRDefault="00962FB8">
      <w:pPr>
        <w:pStyle w:val="Normal1"/>
        <w:spacing w:line="276" w:lineRule="auto"/>
        <w:rPr>
          <w:rFonts w:ascii="Georgia" w:eastAsia="Georgia" w:hAnsi="Georgia" w:cs="Georgia"/>
          <w:sz w:val="21"/>
          <w:szCs w:val="21"/>
        </w:rPr>
      </w:pPr>
    </w:p>
    <w:p w14:paraId="054C1C9B" w14:textId="79A0A62A" w:rsidR="00962FB8" w:rsidRDefault="00CC50D3">
      <w:pPr>
        <w:pStyle w:val="Normal1"/>
        <w:numPr>
          <w:ilvl w:val="0"/>
          <w:numId w:val="1"/>
        </w:numPr>
        <w:pBdr>
          <w:top w:val="nil"/>
          <w:left w:val="nil"/>
          <w:bottom w:val="nil"/>
          <w:right w:val="nil"/>
          <w:between w:val="nil"/>
        </w:pBdr>
        <w:spacing w:line="276" w:lineRule="auto"/>
        <w:rPr>
          <w:i/>
          <w:color w:val="000000"/>
          <w:sz w:val="21"/>
          <w:szCs w:val="21"/>
        </w:rPr>
      </w:pPr>
      <w:r>
        <w:rPr>
          <w:rFonts w:ascii="Georgia" w:hAnsi="Georgia"/>
          <w:i/>
          <w:sz w:val="21"/>
          <w:szCs w:val="21"/>
        </w:rPr>
        <w:t xml:space="preserve">La nueva grúa sin cabeza de alta capacidad ofrece tablas de carga sin </w:t>
      </w:r>
      <w:r w:rsidR="001C0BEB">
        <w:rPr>
          <w:rFonts w:ascii="Georgia" w:hAnsi="Georgia"/>
          <w:i/>
          <w:sz w:val="21"/>
          <w:szCs w:val="21"/>
        </w:rPr>
        <w:t>comparación</w:t>
      </w:r>
      <w:r>
        <w:rPr>
          <w:rFonts w:ascii="Georgia" w:hAnsi="Georgia"/>
          <w:i/>
          <w:sz w:val="21"/>
          <w:szCs w:val="21"/>
        </w:rPr>
        <w:t xml:space="preserve"> en la industria de hasta 35,3 ton EE.UU. (32 ton), es fácil de transportar y se prepara rápidamente para el trabajo.</w:t>
      </w:r>
    </w:p>
    <w:p w14:paraId="53F21776" w14:textId="77777777" w:rsidR="00962FB8" w:rsidRDefault="00CC50D3">
      <w:pPr>
        <w:pStyle w:val="Normal1"/>
        <w:numPr>
          <w:ilvl w:val="0"/>
          <w:numId w:val="1"/>
        </w:numPr>
        <w:pBdr>
          <w:top w:val="nil"/>
          <w:left w:val="nil"/>
          <w:bottom w:val="nil"/>
          <w:right w:val="nil"/>
          <w:between w:val="nil"/>
        </w:pBdr>
        <w:spacing w:line="276" w:lineRule="auto"/>
        <w:rPr>
          <w:i/>
          <w:color w:val="000000"/>
          <w:sz w:val="21"/>
          <w:szCs w:val="21"/>
        </w:rPr>
      </w:pPr>
      <w:r>
        <w:rPr>
          <w:rFonts w:ascii="Georgia" w:hAnsi="Georgia"/>
          <w:i/>
          <w:sz w:val="21"/>
          <w:szCs w:val="21"/>
        </w:rPr>
        <w:t>Aunque la grúa no se exhibe físicamente en el evento, su tamaño compacto y la rapidez de armado son características diseñadas para impresionar al mundo de la elevación.</w:t>
      </w:r>
    </w:p>
    <w:p w14:paraId="097AE9B4" w14:textId="77777777" w:rsidR="00962FB8" w:rsidRDefault="00962FB8">
      <w:pPr>
        <w:pStyle w:val="Normal1"/>
        <w:spacing w:line="276" w:lineRule="auto"/>
        <w:rPr>
          <w:rFonts w:ascii="Georgia" w:eastAsia="Georgia" w:hAnsi="Georgia" w:cs="Georgia"/>
          <w:sz w:val="21"/>
          <w:szCs w:val="21"/>
        </w:rPr>
      </w:pPr>
      <w:bookmarkStart w:id="1" w:name="_GoBack"/>
      <w:bookmarkEnd w:id="1"/>
    </w:p>
    <w:p w14:paraId="4B645E14" w14:textId="6E5E44E4" w:rsidR="00962FB8" w:rsidRDefault="00CC50D3">
      <w:pPr>
        <w:pStyle w:val="Normal1"/>
        <w:spacing w:line="276" w:lineRule="auto"/>
        <w:rPr>
          <w:rFonts w:ascii="Georgia" w:eastAsia="Georgia" w:hAnsi="Georgia" w:cs="Georgia"/>
          <w:sz w:val="21"/>
          <w:szCs w:val="21"/>
        </w:rPr>
      </w:pPr>
      <w:r>
        <w:rPr>
          <w:rFonts w:ascii="Georgia" w:hAnsi="Georgia"/>
          <w:sz w:val="21"/>
          <w:szCs w:val="21"/>
        </w:rPr>
        <w:t xml:space="preserve">Manitowoc ha presentado la nueva Potain MDT 569, el modelo </w:t>
      </w:r>
      <w:r w:rsidR="001C0BEB">
        <w:rPr>
          <w:rFonts w:ascii="Georgia" w:hAnsi="Georgia"/>
          <w:sz w:val="21"/>
          <w:szCs w:val="21"/>
        </w:rPr>
        <w:t xml:space="preserve">que </w:t>
      </w:r>
      <w:r>
        <w:rPr>
          <w:rFonts w:ascii="Georgia" w:hAnsi="Georgia"/>
          <w:sz w:val="21"/>
          <w:szCs w:val="21"/>
        </w:rPr>
        <w:t>recientemente</w:t>
      </w:r>
      <w:r w:rsidR="001C0BEB">
        <w:rPr>
          <w:rFonts w:ascii="Georgia" w:hAnsi="Georgia"/>
          <w:sz w:val="21"/>
          <w:szCs w:val="21"/>
        </w:rPr>
        <w:t xml:space="preserve"> se suma</w:t>
      </w:r>
      <w:r w:rsidR="00E21FB6">
        <w:rPr>
          <w:rFonts w:ascii="Georgia" w:hAnsi="Georgia"/>
          <w:sz w:val="21"/>
          <w:szCs w:val="21"/>
        </w:rPr>
        <w:t xml:space="preserve"> </w:t>
      </w:r>
      <w:r>
        <w:rPr>
          <w:rFonts w:ascii="Georgia" w:hAnsi="Georgia"/>
          <w:sz w:val="21"/>
          <w:szCs w:val="21"/>
        </w:rPr>
        <w:t>a la gama de grúas sin cabeza MDT. Con un diseño que le permite ser una de las grúas más versátiles y de mayor capacidad de Potain,</w:t>
      </w:r>
      <w:r w:rsidR="001C0BEB">
        <w:rPr>
          <w:rFonts w:ascii="Georgia" w:hAnsi="Georgia"/>
          <w:sz w:val="21"/>
          <w:szCs w:val="21"/>
        </w:rPr>
        <w:t xml:space="preserve"> el diseño modular</w:t>
      </w:r>
      <w:r>
        <w:rPr>
          <w:rFonts w:ascii="Georgia" w:hAnsi="Georgia"/>
          <w:sz w:val="21"/>
          <w:szCs w:val="21"/>
        </w:rPr>
        <w:t xml:space="preserve"> de la grúa MDT 569 ofrece componentes de tamaño y peso optimizados, lo que facilita el transporte y el armado. Las impresionantes tablas de carga de la grúa, complementadas con su paquete de tecnología especial, la hacen una nueva opción muy atractiva para los clientes de Norteamérica.</w:t>
      </w:r>
    </w:p>
    <w:p w14:paraId="647A0E3D" w14:textId="77777777" w:rsidR="00962FB8" w:rsidRDefault="00962FB8">
      <w:pPr>
        <w:pStyle w:val="Normal1"/>
        <w:spacing w:line="276" w:lineRule="auto"/>
        <w:rPr>
          <w:rFonts w:ascii="Georgia" w:eastAsia="Georgia" w:hAnsi="Georgia" w:cs="Georgia"/>
          <w:sz w:val="21"/>
          <w:szCs w:val="21"/>
        </w:rPr>
      </w:pPr>
    </w:p>
    <w:p w14:paraId="3981265B" w14:textId="77777777" w:rsidR="00962FB8" w:rsidRDefault="00CC50D3">
      <w:pPr>
        <w:pStyle w:val="Normal1"/>
        <w:spacing w:line="276" w:lineRule="auto"/>
        <w:rPr>
          <w:rFonts w:ascii="Georgia" w:eastAsia="Georgia" w:hAnsi="Georgia" w:cs="Georgia"/>
          <w:sz w:val="21"/>
          <w:szCs w:val="21"/>
        </w:rPr>
      </w:pPr>
      <w:r>
        <w:rPr>
          <w:rFonts w:ascii="Georgia" w:hAnsi="Georgia"/>
          <w:sz w:val="21"/>
          <w:szCs w:val="21"/>
        </w:rPr>
        <w:t>Thibaut Le Besnerais, vicepresidente de productos globales para grúas sin cabeza de Manitowoc, indicó que la MDT 569 combina un diseño inteligente con un rendimiento fuera de toda competencia.</w:t>
      </w:r>
    </w:p>
    <w:p w14:paraId="2AA955FD" w14:textId="77777777" w:rsidR="00962FB8" w:rsidRDefault="00962FB8">
      <w:pPr>
        <w:pStyle w:val="Normal1"/>
        <w:spacing w:line="276" w:lineRule="auto"/>
        <w:rPr>
          <w:rFonts w:ascii="Georgia" w:eastAsia="Georgia" w:hAnsi="Georgia" w:cs="Georgia"/>
          <w:sz w:val="21"/>
          <w:szCs w:val="21"/>
        </w:rPr>
      </w:pPr>
    </w:p>
    <w:p w14:paraId="3D549816" w14:textId="77777777" w:rsidR="00962FB8" w:rsidRDefault="00CC50D3">
      <w:pPr>
        <w:pStyle w:val="Normal1"/>
        <w:spacing w:line="276" w:lineRule="auto"/>
        <w:rPr>
          <w:rFonts w:ascii="Georgia" w:eastAsia="Georgia" w:hAnsi="Georgia" w:cs="Georgia"/>
          <w:sz w:val="21"/>
          <w:szCs w:val="21"/>
        </w:rPr>
      </w:pPr>
      <w:r>
        <w:rPr>
          <w:rFonts w:ascii="Georgia" w:hAnsi="Georgia"/>
          <w:sz w:val="21"/>
          <w:szCs w:val="21"/>
        </w:rPr>
        <w:t>“Hemos experimentado una fuerte demanda de grúas sin cabeza de mayor tamaño en los últimos años”, comentó. “La nueva grúa inclinable sin cabeza MDT 569 está diseñada para clientes que necesitan mayores capacidades, sin sacrificar la facilidad de transporte, la rapidez de armado y los rendimientos líderes de la industria, características ampliamente reconocidas en todas nuestras grúas sin cabeza”.</w:t>
      </w:r>
    </w:p>
    <w:p w14:paraId="715B6146" w14:textId="77777777" w:rsidR="00962FB8" w:rsidRDefault="00962FB8">
      <w:pPr>
        <w:pStyle w:val="Normal1"/>
        <w:spacing w:line="276" w:lineRule="auto"/>
        <w:rPr>
          <w:rFonts w:ascii="Georgia" w:eastAsia="Georgia" w:hAnsi="Georgia" w:cs="Georgia"/>
          <w:sz w:val="21"/>
          <w:szCs w:val="21"/>
        </w:rPr>
      </w:pPr>
    </w:p>
    <w:p w14:paraId="59AFC01A" w14:textId="77777777" w:rsidR="000E6F6B" w:rsidRDefault="007A2EB6">
      <w:pPr>
        <w:pStyle w:val="Normal1"/>
        <w:spacing w:line="276" w:lineRule="auto"/>
        <w:rPr>
          <w:rFonts w:ascii="Georgia" w:eastAsia="Georgia" w:hAnsi="Georgia" w:cs="Georgia"/>
          <w:sz w:val="21"/>
          <w:szCs w:val="21"/>
        </w:rPr>
      </w:pPr>
      <w:r>
        <w:rPr>
          <w:rFonts w:ascii="Georgia" w:hAnsi="Georgia"/>
          <w:sz w:val="21"/>
          <w:szCs w:val="21"/>
        </w:rPr>
        <w:t>La MDT 569 puede elevar grandes cargas de material a la vez: Las opciones de capacidad de elevación máxima son 22 ton EE.UU. (20 ton), 27,6 ton EE.UU. (25 ton) y 35,3 ton EE.UU. (32 ton), con un largo máximo de plumín de 262 pies (80 m). Tiene una capacidad en inclinación de hasta 4,6 ton EE.UU. (4,2 ton) cuando se usa el modelo de 27,6 ton EE.UU. (25 ton) de capacidad con un plumín de 262 pies (80 m). La velocidad máxima del cable es 640 pies/min (195 m/min) cuando la grúa trabaja con el malacate 150 HPL. La grúa puede equiparse con una nueva base de 26 pies (8 m) en forma de cruz, fácil de armar y más económica que las bases anteriores.</w:t>
      </w:r>
    </w:p>
    <w:p w14:paraId="46698115" w14:textId="77777777" w:rsidR="000E6F6B" w:rsidRDefault="000E6F6B">
      <w:pPr>
        <w:pStyle w:val="Normal1"/>
        <w:spacing w:line="276" w:lineRule="auto"/>
        <w:rPr>
          <w:rFonts w:ascii="Georgia" w:eastAsia="Georgia" w:hAnsi="Georgia" w:cs="Georgia"/>
          <w:sz w:val="21"/>
          <w:szCs w:val="21"/>
        </w:rPr>
      </w:pPr>
    </w:p>
    <w:p w14:paraId="5889E216" w14:textId="77777777" w:rsidR="000E6F6B" w:rsidRDefault="00736E93">
      <w:pPr>
        <w:pStyle w:val="Normal1"/>
        <w:spacing w:line="276" w:lineRule="auto"/>
        <w:rPr>
          <w:rFonts w:ascii="Georgia" w:eastAsia="Georgia" w:hAnsi="Georgia" w:cs="Georgia"/>
          <w:sz w:val="21"/>
          <w:szCs w:val="21"/>
        </w:rPr>
      </w:pPr>
      <w:r>
        <w:rPr>
          <w:rFonts w:ascii="Georgia" w:hAnsi="Georgia"/>
          <w:sz w:val="21"/>
          <w:szCs w:val="21"/>
        </w:rPr>
        <w:t xml:space="preserve">La MDT 569 también es más compacta que las grúas anteriores, lo que permite transportar fácilmente el conjunto superior de la grúa en tan solo nueve contenedores estándar. El diseño sin cabeza proporciona flexibilidad en aquellos sitios en los que varias grúas deben mover </w:t>
      </w:r>
      <w:r>
        <w:rPr>
          <w:rFonts w:ascii="Georgia" w:hAnsi="Georgia"/>
          <w:sz w:val="21"/>
          <w:szCs w:val="21"/>
        </w:rPr>
        <w:lastRenderedPageBreak/>
        <w:t>horizontalmente plumas elevadas en la zona de construcción. Los operadores disfrutarán de una gran comodidad y eficiencia al usar el sistema de control de grúa (CCS) de Manitowoc, los controles ergonómicos de la grúa y la cabina Ultra View. Se espera entregar la primera grúa en julio de 2020.</w:t>
      </w:r>
    </w:p>
    <w:p w14:paraId="3CB34F91" w14:textId="77777777" w:rsidR="00962FB8" w:rsidRDefault="00962FB8">
      <w:pPr>
        <w:pStyle w:val="Normal1"/>
        <w:spacing w:line="276" w:lineRule="auto"/>
        <w:rPr>
          <w:rFonts w:ascii="Georgia" w:eastAsia="Georgia" w:hAnsi="Georgia" w:cs="Georgia"/>
          <w:sz w:val="21"/>
          <w:szCs w:val="21"/>
        </w:rPr>
      </w:pPr>
    </w:p>
    <w:p w14:paraId="460044E4" w14:textId="77777777" w:rsidR="00962FB8" w:rsidRDefault="00CC50D3">
      <w:pPr>
        <w:pStyle w:val="Normal1"/>
        <w:spacing w:line="276" w:lineRule="auto"/>
        <w:rPr>
          <w:rFonts w:ascii="Georgia" w:eastAsia="Georgia" w:hAnsi="Georgia" w:cs="Georgia"/>
          <w:sz w:val="21"/>
          <w:szCs w:val="21"/>
        </w:rPr>
      </w:pPr>
      <w:r>
        <w:rPr>
          <w:rFonts w:ascii="Georgia" w:hAnsi="Georgia"/>
          <w:sz w:val="21"/>
          <w:szCs w:val="21"/>
        </w:rPr>
        <w:t>“Estamos enfocados en ofrecer al mercado una grúa robusta en un diseño compacto, con varias opciones para su transporte, sin sacrificar el rendimiento”, afirmó Le Besnerais. “Además, la MDT 569 puede armarse y erigirse completamente en tan solo dos días, con características que ahorran tiempo, como las conexiones rápidas del plumín y el contraplumín y un sistema para tensar y aflojar automáticamente el cable del carro”.</w:t>
      </w:r>
    </w:p>
    <w:p w14:paraId="135FC928" w14:textId="77777777" w:rsidR="00962FB8" w:rsidRDefault="00962FB8">
      <w:pPr>
        <w:pStyle w:val="Normal1"/>
        <w:spacing w:line="276" w:lineRule="auto"/>
        <w:rPr>
          <w:rFonts w:ascii="Georgia" w:eastAsia="Georgia" w:hAnsi="Georgia" w:cs="Georgia"/>
          <w:sz w:val="21"/>
          <w:szCs w:val="21"/>
        </w:rPr>
      </w:pPr>
    </w:p>
    <w:p w14:paraId="5CB4AD57" w14:textId="77777777" w:rsidR="00962FB8" w:rsidRDefault="00CC50D3">
      <w:pPr>
        <w:pStyle w:val="Normal1"/>
        <w:spacing w:line="276" w:lineRule="auto"/>
        <w:rPr>
          <w:rFonts w:ascii="Georgia" w:eastAsia="Georgia" w:hAnsi="Georgia" w:cs="Georgia"/>
          <w:color w:val="000000"/>
          <w:sz w:val="21"/>
          <w:szCs w:val="21"/>
        </w:rPr>
      </w:pPr>
      <w:r>
        <w:rPr>
          <w:rFonts w:ascii="Georgia" w:hAnsi="Georgia"/>
          <w:sz w:val="21"/>
          <w:szCs w:val="21"/>
        </w:rPr>
        <w:t>El anuncio de la nueva MDT 569 se suma al lanzamiento de la grúa torre Potain MRH 175, una nueva grúa sin cabeza con plumín abatible hidráulico que hace su debut en CONEXPO 2020. La otra grúa Potain en exhibición es la Hup M 28-22, lanzada en 2019, que se presenta por primera vez en Norteamérica, con un nuevo eje de transporte para el mercado de la región. Las grúas Hup M 28-22 y MRH 175 estarán en el stand F6144 que tendrá Manitowoc en el Festival Lot, cerca de la esquina de Las Vegas Boulevard y Sahara Avenue.</w:t>
      </w:r>
    </w:p>
    <w:p w14:paraId="1A6ACA16" w14:textId="77777777" w:rsidR="00962FB8" w:rsidRDefault="00962FB8">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p>
    <w:p w14:paraId="0DD75B8D" w14:textId="77777777" w:rsidR="00962FB8" w:rsidRDefault="00CC50D3">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r>
        <w:rPr>
          <w:rFonts w:ascii="Georgia" w:hAnsi="Georgia"/>
          <w:sz w:val="21"/>
          <w:szCs w:val="21"/>
        </w:rPr>
        <w:t>-FIN-</w:t>
      </w:r>
    </w:p>
    <w:p w14:paraId="19DFF47C" w14:textId="77777777" w:rsidR="00962FB8" w:rsidRDefault="00962FB8">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p>
    <w:p w14:paraId="3FB2FEBB" w14:textId="77777777" w:rsidR="00962FB8" w:rsidRDefault="00962FB8">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p>
    <w:p w14:paraId="50E322ED" w14:textId="77777777" w:rsidR="00962FB8" w:rsidRDefault="00CC50D3">
      <w:pPr>
        <w:pStyle w:val="Normal1"/>
        <w:spacing w:line="276" w:lineRule="auto"/>
        <w:rPr>
          <w:rFonts w:ascii="Verdana" w:eastAsia="Verdana" w:hAnsi="Verdana" w:cs="Verdana"/>
          <w:b/>
          <w:color w:val="41525C"/>
          <w:sz w:val="18"/>
          <w:szCs w:val="18"/>
        </w:rPr>
      </w:pPr>
      <w:r>
        <w:rPr>
          <w:rFonts w:ascii="Verdana" w:hAnsi="Verdana"/>
          <w:color w:val="ED1C2A"/>
          <w:sz w:val="18"/>
          <w:szCs w:val="18"/>
        </w:rPr>
        <w:t>CONTACTO</w:t>
      </w:r>
    </w:p>
    <w:p w14:paraId="34BFB384" w14:textId="77777777" w:rsidR="00962FB8" w:rsidRDefault="00CC50D3">
      <w:pPr>
        <w:pStyle w:val="Normal1"/>
        <w:tabs>
          <w:tab w:val="left" w:pos="3969"/>
        </w:tabs>
        <w:spacing w:line="276" w:lineRule="auto"/>
        <w:rPr>
          <w:rFonts w:ascii="Verdana" w:eastAsia="Verdana" w:hAnsi="Verdana" w:cs="Verdana"/>
          <w:color w:val="41525C"/>
          <w:sz w:val="18"/>
          <w:szCs w:val="18"/>
        </w:rPr>
      </w:pPr>
      <w:r>
        <w:rPr>
          <w:rFonts w:ascii="Verdana" w:hAnsi="Verdana"/>
          <w:b/>
          <w:color w:val="41525C"/>
          <w:sz w:val="18"/>
          <w:szCs w:val="18"/>
        </w:rPr>
        <w:t>Amy Marten</w:t>
      </w:r>
      <w:r>
        <w:rPr>
          <w:sz w:val="18"/>
          <w:szCs w:val="18"/>
        </w:rPr>
        <w:tab/>
      </w:r>
      <w:r>
        <w:rPr>
          <w:rFonts w:ascii="Verdana" w:hAnsi="Verdana"/>
          <w:color w:val="41525C"/>
          <w:sz w:val="18"/>
          <w:szCs w:val="18"/>
        </w:rPr>
        <w:t xml:space="preserve"> </w:t>
      </w:r>
    </w:p>
    <w:p w14:paraId="3956AB7E" w14:textId="77777777" w:rsidR="00962FB8" w:rsidRDefault="00CC50D3">
      <w:pPr>
        <w:pStyle w:val="Normal1"/>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Manitowoc</w:t>
      </w:r>
    </w:p>
    <w:p w14:paraId="4CFDC0C3" w14:textId="77777777" w:rsidR="00962FB8" w:rsidRDefault="00CC50D3">
      <w:pPr>
        <w:pStyle w:val="Normal1"/>
        <w:tabs>
          <w:tab w:val="left" w:pos="3969"/>
        </w:tabs>
        <w:spacing w:line="276" w:lineRule="auto"/>
        <w:rPr>
          <w:rFonts w:ascii="Verdana" w:eastAsia="Verdana" w:hAnsi="Verdana" w:cs="Verdana"/>
          <w:b/>
          <w:color w:val="41525C"/>
          <w:sz w:val="18"/>
          <w:szCs w:val="18"/>
        </w:rPr>
      </w:pPr>
      <w:r>
        <w:rPr>
          <w:rFonts w:ascii="Verdana" w:hAnsi="Verdana"/>
          <w:color w:val="41525C"/>
          <w:sz w:val="18"/>
          <w:szCs w:val="18"/>
        </w:rPr>
        <w:t>Tel +1 920 683 6345</w:t>
      </w:r>
      <w:r>
        <w:rPr>
          <w:rFonts w:ascii="Verdana" w:hAnsi="Verdana"/>
          <w:color w:val="41525C"/>
          <w:sz w:val="18"/>
          <w:szCs w:val="18"/>
        </w:rPr>
        <w:tab/>
      </w:r>
    </w:p>
    <w:p w14:paraId="3DD8D753" w14:textId="77777777" w:rsidR="00962FB8" w:rsidRPr="00591FE6" w:rsidRDefault="005B7A20">
      <w:pPr>
        <w:pStyle w:val="Normal1"/>
        <w:tabs>
          <w:tab w:val="left" w:pos="3969"/>
        </w:tabs>
        <w:spacing w:line="276" w:lineRule="auto"/>
        <w:rPr>
          <w:rFonts w:ascii="Verdana" w:eastAsia="Verdana" w:hAnsi="Verdana" w:cs="Verdana"/>
          <w:color w:val="FF0000"/>
          <w:sz w:val="18"/>
          <w:szCs w:val="18"/>
        </w:rPr>
      </w:pPr>
      <w:hyperlink r:id="rId11">
        <w:r w:rsidR="000139D1" w:rsidRPr="00591FE6">
          <w:rPr>
            <w:rFonts w:ascii="Verdana" w:hAnsi="Verdana"/>
            <w:color w:val="41525C"/>
            <w:sz w:val="18"/>
            <w:szCs w:val="18"/>
            <w:u w:val="single"/>
          </w:rPr>
          <w:t>amy.marten@manitowoc.com</w:t>
        </w:r>
      </w:hyperlink>
    </w:p>
    <w:p w14:paraId="42C966DD" w14:textId="77777777" w:rsidR="00962FB8" w:rsidRPr="00591FE6" w:rsidRDefault="00962FB8">
      <w:pPr>
        <w:pStyle w:val="Normal1"/>
        <w:tabs>
          <w:tab w:val="left" w:pos="3969"/>
        </w:tabs>
        <w:spacing w:line="276" w:lineRule="auto"/>
        <w:rPr>
          <w:rFonts w:ascii="Verdana" w:eastAsia="Verdana" w:hAnsi="Verdana" w:cs="Verdana"/>
          <w:color w:val="FF0000"/>
          <w:sz w:val="18"/>
          <w:szCs w:val="18"/>
        </w:rPr>
      </w:pPr>
    </w:p>
    <w:p w14:paraId="437C12B6" w14:textId="77777777" w:rsidR="0006199C" w:rsidRPr="00591FE6" w:rsidRDefault="0006199C" w:rsidP="0006199C">
      <w:pPr>
        <w:tabs>
          <w:tab w:val="left" w:pos="3969"/>
        </w:tabs>
        <w:spacing w:line="276" w:lineRule="auto"/>
        <w:rPr>
          <w:rFonts w:ascii="Verdana" w:eastAsia="Verdana" w:hAnsi="Verdana" w:cs="Verdana"/>
          <w:color w:val="FF0000"/>
          <w:sz w:val="18"/>
          <w:szCs w:val="18"/>
        </w:rPr>
      </w:pPr>
      <w:r w:rsidRPr="00591FE6">
        <w:rPr>
          <w:rFonts w:ascii="Verdana" w:hAnsi="Verdana"/>
          <w:color w:val="FF0000"/>
          <w:sz w:val="18"/>
          <w:szCs w:val="18"/>
        </w:rPr>
        <w:t>ACERCA DE THE MANITOWOC COMPANY, INC.</w:t>
      </w:r>
      <w:r w:rsidRPr="00591FE6">
        <w:rPr>
          <w:rFonts w:ascii="Verdana" w:hAnsi="Verdana"/>
          <w:color w:val="41525C"/>
          <w:sz w:val="18"/>
          <w:szCs w:val="18"/>
        </w:rPr>
        <w:tab/>
      </w:r>
    </w:p>
    <w:p w14:paraId="09E6B593" w14:textId="77777777" w:rsidR="0006199C" w:rsidRPr="006D6930" w:rsidRDefault="0006199C" w:rsidP="0006199C">
      <w:pPr>
        <w:spacing w:line="276" w:lineRule="auto"/>
        <w:rPr>
          <w:rFonts w:ascii="Verdana" w:eastAsia="Verdana" w:hAnsi="Verdana" w:cs="Verdana"/>
          <w:color w:val="41525C"/>
          <w:sz w:val="18"/>
          <w:szCs w:val="18"/>
        </w:rPr>
      </w:pPr>
      <w:r w:rsidRPr="00591FE6">
        <w:rPr>
          <w:rFonts w:ascii="Verdana" w:hAnsi="Verdana"/>
          <w:color w:val="41525C"/>
          <w:sz w:val="18"/>
          <w:szCs w:val="18"/>
          <w:lang w:val="en-US"/>
        </w:rPr>
        <w:t xml:space="preserve">The Manitowoc Company, Inc. </w:t>
      </w:r>
      <w:r>
        <w:rPr>
          <w:rFonts w:ascii="Verdana" w:hAnsi="Verdana"/>
          <w:color w:val="41525C"/>
          <w:sz w:val="18"/>
          <w:szCs w:val="18"/>
        </w:rPr>
        <w:t>(“Manitowoc”), empresa fundada en 1902, tiene una tradición de más de 117 años como proveedora de productos y servicios de apoyo de alta calidad para sus mercados, con un enfoque total hacia el cliente y ventas netas en 2019 de aproximadamente $1830 millones de dólares. Manitowoc es uno de los líderes mundiales en ingeniería para soluciones de elevación. Manitowoc, a través de subsidiarias de su propiedad absoluta, diseña, fabrica, mercadea y respalda las más completas líneas de productos de grúas telescópicas móviles, grúas torre, grúas de oruga con pluma de celosía y grúas montadas en camión, bajo las marcas Grove, Manitowoc, National Crane, Potain, Shuttlelift y Manitowoc Crane Care.</w:t>
      </w:r>
    </w:p>
    <w:p w14:paraId="72D079A1" w14:textId="77777777" w:rsidR="00962FB8" w:rsidRDefault="00962FB8">
      <w:pPr>
        <w:pStyle w:val="Normal1"/>
        <w:spacing w:line="276" w:lineRule="auto"/>
        <w:rPr>
          <w:rFonts w:ascii="Verdana" w:eastAsia="Verdana" w:hAnsi="Verdana" w:cs="Verdana"/>
          <w:color w:val="41525C"/>
          <w:sz w:val="18"/>
          <w:szCs w:val="18"/>
        </w:rPr>
      </w:pPr>
    </w:p>
    <w:p w14:paraId="42D6FC4A" w14:textId="77777777" w:rsidR="00962FB8" w:rsidRPr="00591FE6" w:rsidRDefault="00CC50D3">
      <w:pPr>
        <w:pStyle w:val="Normal1"/>
        <w:spacing w:line="276" w:lineRule="auto"/>
        <w:rPr>
          <w:rFonts w:ascii="Verdana" w:eastAsia="Verdana" w:hAnsi="Verdana" w:cs="Verdana"/>
          <w:sz w:val="18"/>
          <w:szCs w:val="18"/>
          <w:lang w:val="en-US"/>
        </w:rPr>
      </w:pPr>
      <w:r w:rsidRPr="00591FE6">
        <w:rPr>
          <w:rFonts w:ascii="Verdana" w:hAnsi="Verdana"/>
          <w:color w:val="ED1C2A"/>
          <w:sz w:val="18"/>
          <w:szCs w:val="18"/>
          <w:lang w:val="en-US"/>
        </w:rPr>
        <w:t>THE MANITOWOC COMPANY, INC.</w:t>
      </w:r>
    </w:p>
    <w:p w14:paraId="4C9984D0" w14:textId="77777777" w:rsidR="00962FB8" w:rsidRPr="00591FE6" w:rsidRDefault="00CC50D3">
      <w:pPr>
        <w:pStyle w:val="Normal1"/>
        <w:spacing w:line="276" w:lineRule="auto"/>
        <w:rPr>
          <w:rFonts w:ascii="Verdana" w:eastAsia="Verdana" w:hAnsi="Verdana" w:cs="Verdana"/>
          <w:sz w:val="18"/>
          <w:szCs w:val="18"/>
          <w:lang w:val="en-US"/>
        </w:rPr>
      </w:pPr>
      <w:r w:rsidRPr="00591FE6">
        <w:rPr>
          <w:rFonts w:ascii="Verdana" w:hAnsi="Verdana"/>
          <w:color w:val="41525C"/>
          <w:sz w:val="18"/>
          <w:szCs w:val="18"/>
          <w:lang w:val="en-US"/>
        </w:rPr>
        <w:t>One Park Plaza – 11270 West Park Place</w:t>
      </w:r>
      <w:r w:rsidRPr="00591FE6">
        <w:rPr>
          <w:rFonts w:ascii="Verdana" w:hAnsi="Verdana"/>
          <w:sz w:val="18"/>
          <w:szCs w:val="18"/>
          <w:lang w:val="en-US"/>
        </w:rPr>
        <w:t xml:space="preserve"> – Suite 1000 – </w:t>
      </w:r>
      <w:r w:rsidRPr="00591FE6">
        <w:rPr>
          <w:rFonts w:ascii="Verdana" w:hAnsi="Verdana"/>
          <w:color w:val="41525C"/>
          <w:sz w:val="18"/>
          <w:szCs w:val="18"/>
          <w:lang w:val="en-US"/>
        </w:rPr>
        <w:t>Milwaukee, WI 53224, EE.UU.</w:t>
      </w:r>
    </w:p>
    <w:p w14:paraId="388908EA" w14:textId="77777777" w:rsidR="00962FB8" w:rsidRDefault="00CC50D3">
      <w:pPr>
        <w:pStyle w:val="Normal1"/>
        <w:spacing w:line="276" w:lineRule="auto"/>
        <w:rPr>
          <w:rFonts w:ascii="Verdana" w:eastAsia="Verdana" w:hAnsi="Verdana" w:cs="Verdana"/>
          <w:sz w:val="18"/>
          <w:szCs w:val="18"/>
        </w:rPr>
      </w:pPr>
      <w:r>
        <w:rPr>
          <w:rFonts w:ascii="Verdana" w:hAnsi="Verdana"/>
          <w:color w:val="41525C"/>
          <w:sz w:val="18"/>
          <w:szCs w:val="18"/>
        </w:rPr>
        <w:t>Tel +1 414 760 4600</w:t>
      </w:r>
    </w:p>
    <w:p w14:paraId="7C27BB51" w14:textId="77777777" w:rsidR="00962FB8" w:rsidRDefault="003D082D">
      <w:pPr>
        <w:pStyle w:val="Normal1"/>
        <w:spacing w:line="276" w:lineRule="auto"/>
        <w:rPr>
          <w:rFonts w:ascii="Verdana" w:eastAsia="Verdana" w:hAnsi="Verdana" w:cs="Verdana"/>
          <w:b/>
          <w:color w:val="41525C"/>
          <w:sz w:val="18"/>
          <w:szCs w:val="18"/>
          <w:u w:val="single"/>
        </w:rPr>
      </w:pPr>
      <w:hyperlink r:id="rId12">
        <w:r w:rsidR="000139D1">
          <w:rPr>
            <w:rFonts w:ascii="Verdana" w:hAnsi="Verdana"/>
            <w:b/>
            <w:color w:val="41525C"/>
            <w:sz w:val="18"/>
            <w:szCs w:val="18"/>
            <w:u w:val="single"/>
          </w:rPr>
          <w:t>www.manitowoc.com</w:t>
        </w:r>
      </w:hyperlink>
    </w:p>
    <w:sectPr w:rsidR="00962FB8">
      <w:headerReference w:type="default" r:id="rId13"/>
      <w:footerReference w:type="default" r:id="rId14"/>
      <w:headerReference w:type="first" r:id="rId15"/>
      <w:footerReference w:type="first" r:id="rId16"/>
      <w:pgSz w:w="12240" w:h="15840"/>
      <w:pgMar w:top="1138" w:right="1411" w:bottom="1440" w:left="1411" w:header="1138" w:footer="18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4C749" w14:textId="77777777" w:rsidR="003D082D" w:rsidRDefault="003D082D">
      <w:r>
        <w:separator/>
      </w:r>
    </w:p>
  </w:endnote>
  <w:endnote w:type="continuationSeparator" w:id="0">
    <w:p w14:paraId="4A1AAC0F" w14:textId="77777777" w:rsidR="003D082D" w:rsidRDefault="003D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7F428" w14:textId="77777777" w:rsidR="00CC50D3" w:rsidRDefault="00CC50D3">
    <w:pPr>
      <w:pStyle w:val="Normal1"/>
      <w:widowControl w:val="0"/>
      <w:pBdr>
        <w:top w:val="nil"/>
        <w:left w:val="nil"/>
        <w:bottom w:val="nil"/>
        <w:right w:val="nil"/>
        <w:between w:val="nil"/>
      </w:pBdr>
      <w:spacing w:line="276" w:lineRule="auto"/>
      <w:rPr>
        <w:color w:val="000000"/>
      </w:rPr>
    </w:pPr>
  </w:p>
  <w:tbl>
    <w:tblPr>
      <w:tblStyle w:val="a1"/>
      <w:tblW w:w="9417" w:type="dxa"/>
      <w:tblLayout w:type="fixed"/>
      <w:tblLook w:val="0400" w:firstRow="0" w:lastRow="0" w:firstColumn="0" w:lastColumn="0" w:noHBand="0" w:noVBand="1"/>
    </w:tblPr>
    <w:tblGrid>
      <w:gridCol w:w="3139"/>
      <w:gridCol w:w="3139"/>
      <w:gridCol w:w="3139"/>
    </w:tblGrid>
    <w:tr w:rsidR="00CC50D3" w14:paraId="66FD115D" w14:textId="77777777">
      <w:tc>
        <w:tcPr>
          <w:tcW w:w="3139" w:type="dxa"/>
        </w:tcPr>
        <w:p w14:paraId="09DE9FD1" w14:textId="77777777" w:rsidR="00CC50D3" w:rsidRDefault="00CC50D3">
          <w:pPr>
            <w:pStyle w:val="Normal1"/>
            <w:pBdr>
              <w:top w:val="nil"/>
              <w:left w:val="nil"/>
              <w:bottom w:val="nil"/>
              <w:right w:val="nil"/>
              <w:between w:val="nil"/>
            </w:pBdr>
            <w:tabs>
              <w:tab w:val="center" w:pos="4320"/>
              <w:tab w:val="right" w:pos="8640"/>
            </w:tabs>
            <w:ind w:left="-115"/>
            <w:rPr>
              <w:color w:val="000000"/>
            </w:rPr>
          </w:pPr>
        </w:p>
      </w:tc>
      <w:tc>
        <w:tcPr>
          <w:tcW w:w="3139" w:type="dxa"/>
        </w:tcPr>
        <w:p w14:paraId="3CA5BD03" w14:textId="77777777" w:rsidR="00CC50D3" w:rsidRDefault="00CC50D3">
          <w:pPr>
            <w:pStyle w:val="Normal1"/>
            <w:pBdr>
              <w:top w:val="nil"/>
              <w:left w:val="nil"/>
              <w:bottom w:val="nil"/>
              <w:right w:val="nil"/>
              <w:between w:val="nil"/>
            </w:pBdr>
            <w:tabs>
              <w:tab w:val="center" w:pos="4320"/>
              <w:tab w:val="right" w:pos="8640"/>
            </w:tabs>
            <w:jc w:val="center"/>
            <w:rPr>
              <w:color w:val="000000"/>
            </w:rPr>
          </w:pPr>
        </w:p>
      </w:tc>
      <w:tc>
        <w:tcPr>
          <w:tcW w:w="3139" w:type="dxa"/>
        </w:tcPr>
        <w:p w14:paraId="3D50FCBF" w14:textId="77777777" w:rsidR="00CC50D3" w:rsidRDefault="00CC50D3">
          <w:pPr>
            <w:pStyle w:val="Normal1"/>
            <w:pBdr>
              <w:top w:val="nil"/>
              <w:left w:val="nil"/>
              <w:bottom w:val="nil"/>
              <w:right w:val="nil"/>
              <w:between w:val="nil"/>
            </w:pBdr>
            <w:tabs>
              <w:tab w:val="center" w:pos="4320"/>
              <w:tab w:val="right" w:pos="8640"/>
            </w:tabs>
            <w:ind w:right="-115"/>
            <w:jc w:val="right"/>
            <w:rPr>
              <w:color w:val="000000"/>
            </w:rPr>
          </w:pPr>
        </w:p>
      </w:tc>
    </w:tr>
  </w:tbl>
  <w:p w14:paraId="158FFECB" w14:textId="77777777" w:rsidR="00CC50D3" w:rsidRDefault="00CC50D3">
    <w:pPr>
      <w:pStyle w:val="Normal1"/>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ED09F" w14:textId="77777777" w:rsidR="00CC50D3" w:rsidRDefault="00CC50D3">
    <w:pPr>
      <w:pStyle w:val="Normal1"/>
      <w:widowControl w:val="0"/>
      <w:pBdr>
        <w:top w:val="nil"/>
        <w:left w:val="nil"/>
        <w:bottom w:val="nil"/>
        <w:right w:val="nil"/>
        <w:between w:val="nil"/>
      </w:pBdr>
      <w:spacing w:line="276" w:lineRule="auto"/>
      <w:rPr>
        <w:color w:val="000000"/>
      </w:rPr>
    </w:pPr>
  </w:p>
  <w:tbl>
    <w:tblPr>
      <w:tblStyle w:val="a0"/>
      <w:tblW w:w="9417" w:type="dxa"/>
      <w:tblLayout w:type="fixed"/>
      <w:tblLook w:val="0400" w:firstRow="0" w:lastRow="0" w:firstColumn="0" w:lastColumn="0" w:noHBand="0" w:noVBand="1"/>
    </w:tblPr>
    <w:tblGrid>
      <w:gridCol w:w="3139"/>
      <w:gridCol w:w="3139"/>
      <w:gridCol w:w="3139"/>
    </w:tblGrid>
    <w:tr w:rsidR="00CC50D3" w14:paraId="11043103" w14:textId="77777777">
      <w:tc>
        <w:tcPr>
          <w:tcW w:w="3139" w:type="dxa"/>
        </w:tcPr>
        <w:p w14:paraId="5BA63834" w14:textId="77777777" w:rsidR="00CC50D3" w:rsidRDefault="00CC50D3">
          <w:pPr>
            <w:pStyle w:val="Normal1"/>
            <w:pBdr>
              <w:top w:val="nil"/>
              <w:left w:val="nil"/>
              <w:bottom w:val="nil"/>
              <w:right w:val="nil"/>
              <w:between w:val="nil"/>
            </w:pBdr>
            <w:tabs>
              <w:tab w:val="center" w:pos="4320"/>
              <w:tab w:val="right" w:pos="8640"/>
            </w:tabs>
            <w:ind w:left="-115"/>
            <w:rPr>
              <w:color w:val="000000"/>
            </w:rPr>
          </w:pPr>
        </w:p>
      </w:tc>
      <w:tc>
        <w:tcPr>
          <w:tcW w:w="3139" w:type="dxa"/>
        </w:tcPr>
        <w:p w14:paraId="12C717EF" w14:textId="77777777" w:rsidR="00CC50D3" w:rsidRDefault="00CC50D3">
          <w:pPr>
            <w:pStyle w:val="Normal1"/>
            <w:pBdr>
              <w:top w:val="nil"/>
              <w:left w:val="nil"/>
              <w:bottom w:val="nil"/>
              <w:right w:val="nil"/>
              <w:between w:val="nil"/>
            </w:pBdr>
            <w:tabs>
              <w:tab w:val="center" w:pos="4320"/>
              <w:tab w:val="right" w:pos="8640"/>
            </w:tabs>
            <w:jc w:val="center"/>
            <w:rPr>
              <w:color w:val="000000"/>
            </w:rPr>
          </w:pPr>
        </w:p>
      </w:tc>
      <w:tc>
        <w:tcPr>
          <w:tcW w:w="3139" w:type="dxa"/>
        </w:tcPr>
        <w:p w14:paraId="7AEDD4A8" w14:textId="77777777" w:rsidR="00CC50D3" w:rsidRDefault="00CC50D3">
          <w:pPr>
            <w:pStyle w:val="Normal1"/>
            <w:pBdr>
              <w:top w:val="nil"/>
              <w:left w:val="nil"/>
              <w:bottom w:val="nil"/>
              <w:right w:val="nil"/>
              <w:between w:val="nil"/>
            </w:pBdr>
            <w:tabs>
              <w:tab w:val="center" w:pos="4320"/>
              <w:tab w:val="right" w:pos="8640"/>
            </w:tabs>
            <w:ind w:right="-115"/>
            <w:jc w:val="right"/>
            <w:rPr>
              <w:color w:val="000000"/>
            </w:rPr>
          </w:pPr>
        </w:p>
      </w:tc>
    </w:tr>
  </w:tbl>
  <w:p w14:paraId="68D8FCDB" w14:textId="77777777" w:rsidR="00CC50D3" w:rsidRDefault="00CC50D3">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D0B36" w14:textId="77777777" w:rsidR="003D082D" w:rsidRDefault="003D082D">
      <w:r>
        <w:separator/>
      </w:r>
    </w:p>
  </w:footnote>
  <w:footnote w:type="continuationSeparator" w:id="0">
    <w:p w14:paraId="121D937E" w14:textId="77777777" w:rsidR="003D082D" w:rsidRDefault="003D0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9C97" w14:textId="77777777" w:rsidR="00CC50D3" w:rsidRDefault="00CC50D3">
    <w:pPr>
      <w:pStyle w:val="Normal1"/>
      <w:tabs>
        <w:tab w:val="left" w:pos="1055"/>
        <w:tab w:val="left" w:pos="4111"/>
        <w:tab w:val="left" w:pos="7371"/>
      </w:tabs>
      <w:spacing w:line="276" w:lineRule="auto"/>
      <w:rPr>
        <w:rFonts w:ascii="Verdana" w:eastAsia="Verdana" w:hAnsi="Verdana" w:cs="Verdana"/>
        <w:b/>
        <w:color w:val="41525C"/>
        <w:sz w:val="18"/>
        <w:szCs w:val="18"/>
      </w:rPr>
    </w:pPr>
    <w:r>
      <w:rPr>
        <w:rFonts w:ascii="Verdana" w:hAnsi="Verdana"/>
        <w:b/>
        <w:color w:val="41525C"/>
        <w:sz w:val="18"/>
        <w:szCs w:val="18"/>
      </w:rPr>
      <w:t>Potain en CONEXPO 2020</w:t>
    </w:r>
  </w:p>
  <w:p w14:paraId="7BAF02CD" w14:textId="77777777" w:rsidR="00CC50D3" w:rsidRDefault="00736E93">
    <w:pPr>
      <w:pStyle w:val="Normal1"/>
      <w:spacing w:line="276" w:lineRule="auto"/>
      <w:rPr>
        <w:rFonts w:ascii="Verdana" w:eastAsia="Verdana" w:hAnsi="Verdana" w:cs="Verdana"/>
        <w:color w:val="ED1C2A"/>
        <w:sz w:val="18"/>
        <w:szCs w:val="18"/>
      </w:rPr>
    </w:pPr>
    <w:r>
      <w:rPr>
        <w:rFonts w:ascii="Verdana" w:hAnsi="Verdana"/>
        <w:color w:val="41525C"/>
        <w:sz w:val="18"/>
        <w:szCs w:val="18"/>
      </w:rPr>
      <w:t>10 de marzo de 2020</w:t>
    </w:r>
  </w:p>
  <w:p w14:paraId="040B6A49" w14:textId="77777777" w:rsidR="00CC50D3" w:rsidRDefault="00CC50D3">
    <w:pPr>
      <w:pStyle w:val="Normal1"/>
      <w:spacing w:line="276" w:lineRule="auto"/>
      <w:rPr>
        <w:rFonts w:ascii="Verdana" w:eastAsia="Verdana" w:hAnsi="Verdana" w:cs="Verdana"/>
        <w:sz w:val="16"/>
        <w:szCs w:val="16"/>
      </w:rPr>
    </w:pPr>
  </w:p>
  <w:p w14:paraId="44F93714" w14:textId="77777777" w:rsidR="00CC50D3" w:rsidRDefault="00CC50D3">
    <w:pPr>
      <w:pStyle w:val="Normal1"/>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C6695" w14:textId="77777777" w:rsidR="00CC50D3" w:rsidRDefault="00CC50D3">
    <w:pPr>
      <w:pStyle w:val="Normal1"/>
      <w:widowControl w:val="0"/>
      <w:pBdr>
        <w:top w:val="nil"/>
        <w:left w:val="nil"/>
        <w:bottom w:val="nil"/>
        <w:right w:val="nil"/>
        <w:between w:val="nil"/>
      </w:pBdr>
      <w:spacing w:line="276" w:lineRule="auto"/>
      <w:rPr>
        <w:rFonts w:ascii="Verdana" w:eastAsia="Verdana" w:hAnsi="Verdana" w:cs="Verdana"/>
        <w:b/>
        <w:color w:val="41525C"/>
        <w:sz w:val="18"/>
        <w:szCs w:val="18"/>
        <w:u w:val="single"/>
      </w:rPr>
    </w:pPr>
  </w:p>
  <w:tbl>
    <w:tblPr>
      <w:tblStyle w:val="a"/>
      <w:tblW w:w="9417" w:type="dxa"/>
      <w:tblLayout w:type="fixed"/>
      <w:tblLook w:val="0400" w:firstRow="0" w:lastRow="0" w:firstColumn="0" w:lastColumn="0" w:noHBand="0" w:noVBand="1"/>
    </w:tblPr>
    <w:tblGrid>
      <w:gridCol w:w="3139"/>
      <w:gridCol w:w="3139"/>
      <w:gridCol w:w="3139"/>
    </w:tblGrid>
    <w:tr w:rsidR="00CC50D3" w14:paraId="4839EEB5" w14:textId="77777777">
      <w:tc>
        <w:tcPr>
          <w:tcW w:w="3139" w:type="dxa"/>
        </w:tcPr>
        <w:p w14:paraId="680832D3" w14:textId="77777777" w:rsidR="00CC50D3" w:rsidRDefault="00CC50D3">
          <w:pPr>
            <w:pStyle w:val="Normal1"/>
            <w:pBdr>
              <w:top w:val="nil"/>
              <w:left w:val="nil"/>
              <w:bottom w:val="nil"/>
              <w:right w:val="nil"/>
              <w:between w:val="nil"/>
            </w:pBdr>
            <w:tabs>
              <w:tab w:val="center" w:pos="4320"/>
              <w:tab w:val="right" w:pos="8640"/>
            </w:tabs>
            <w:ind w:left="-115"/>
            <w:rPr>
              <w:color w:val="000000"/>
            </w:rPr>
          </w:pPr>
        </w:p>
      </w:tc>
      <w:tc>
        <w:tcPr>
          <w:tcW w:w="3139" w:type="dxa"/>
        </w:tcPr>
        <w:p w14:paraId="1D92BA8C" w14:textId="77777777" w:rsidR="00CC50D3" w:rsidRDefault="00CC50D3">
          <w:pPr>
            <w:pStyle w:val="Normal1"/>
            <w:pBdr>
              <w:top w:val="nil"/>
              <w:left w:val="nil"/>
              <w:bottom w:val="nil"/>
              <w:right w:val="nil"/>
              <w:between w:val="nil"/>
            </w:pBdr>
            <w:tabs>
              <w:tab w:val="center" w:pos="4320"/>
              <w:tab w:val="right" w:pos="8640"/>
            </w:tabs>
            <w:jc w:val="center"/>
            <w:rPr>
              <w:color w:val="000000"/>
            </w:rPr>
          </w:pPr>
        </w:p>
      </w:tc>
      <w:tc>
        <w:tcPr>
          <w:tcW w:w="3139" w:type="dxa"/>
        </w:tcPr>
        <w:p w14:paraId="210B43EF" w14:textId="77777777" w:rsidR="00CC50D3" w:rsidRDefault="00CC50D3">
          <w:pPr>
            <w:pStyle w:val="Normal1"/>
            <w:pBdr>
              <w:top w:val="nil"/>
              <w:left w:val="nil"/>
              <w:bottom w:val="nil"/>
              <w:right w:val="nil"/>
              <w:between w:val="nil"/>
            </w:pBdr>
            <w:tabs>
              <w:tab w:val="center" w:pos="4320"/>
              <w:tab w:val="right" w:pos="8640"/>
            </w:tabs>
            <w:ind w:right="-115"/>
            <w:jc w:val="right"/>
            <w:rPr>
              <w:color w:val="000000"/>
            </w:rPr>
          </w:pPr>
        </w:p>
      </w:tc>
    </w:tr>
  </w:tbl>
  <w:p w14:paraId="71876925" w14:textId="77777777" w:rsidR="00CC50D3" w:rsidRDefault="00CC50D3">
    <w:pPr>
      <w:pStyle w:val="Normal1"/>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2F3D"/>
    <w:multiLevelType w:val="multilevel"/>
    <w:tmpl w:val="EFD2C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B8"/>
    <w:rsid w:val="000139D1"/>
    <w:rsid w:val="000355F8"/>
    <w:rsid w:val="0006199C"/>
    <w:rsid w:val="000E6F6B"/>
    <w:rsid w:val="00125718"/>
    <w:rsid w:val="001C0BEB"/>
    <w:rsid w:val="002B464D"/>
    <w:rsid w:val="003C77E4"/>
    <w:rsid w:val="003D082D"/>
    <w:rsid w:val="00591FE6"/>
    <w:rsid w:val="005B7A20"/>
    <w:rsid w:val="00736E93"/>
    <w:rsid w:val="0076708C"/>
    <w:rsid w:val="007A2EB6"/>
    <w:rsid w:val="00885DC4"/>
    <w:rsid w:val="0090472D"/>
    <w:rsid w:val="00962FB8"/>
    <w:rsid w:val="00BC22EB"/>
    <w:rsid w:val="00BC6B2F"/>
    <w:rsid w:val="00BD6927"/>
    <w:rsid w:val="00BE0068"/>
    <w:rsid w:val="00C4652E"/>
    <w:rsid w:val="00CA4D5C"/>
    <w:rsid w:val="00CC50D3"/>
    <w:rsid w:val="00DD1C77"/>
    <w:rsid w:val="00DD2111"/>
    <w:rsid w:val="00E21FB6"/>
    <w:rsid w:val="00E65E02"/>
    <w:rsid w:val="00E7463F"/>
    <w:rsid w:val="00F31503"/>
    <w:rsid w:val="00FC6829"/>
    <w:rsid w:val="00FF5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AD0D6"/>
  <w15:docId w15:val="{470B246E-5B7C-4150-A717-A357E2ED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pPr>
      <w:keepNext/>
      <w:spacing w:before="240" w:after="60"/>
      <w:outlineLvl w:val="0"/>
    </w:pPr>
    <w:rPr>
      <w:rFonts w:ascii="Arial" w:eastAsia="Arial" w:hAnsi="Arial" w:cs="Arial"/>
      <w:b/>
      <w:sz w:val="32"/>
      <w:szCs w:val="32"/>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36E93"/>
    <w:pPr>
      <w:tabs>
        <w:tab w:val="center" w:pos="4320"/>
        <w:tab w:val="right" w:pos="8640"/>
      </w:tabs>
    </w:pPr>
  </w:style>
  <w:style w:type="character" w:customStyle="1" w:styleId="HeaderChar">
    <w:name w:val="Header Char"/>
    <w:basedOn w:val="DefaultParagraphFont"/>
    <w:link w:val="Header"/>
    <w:uiPriority w:val="99"/>
    <w:rsid w:val="00736E93"/>
  </w:style>
  <w:style w:type="paragraph" w:styleId="Footer">
    <w:name w:val="footer"/>
    <w:basedOn w:val="Normal"/>
    <w:link w:val="FooterChar"/>
    <w:uiPriority w:val="99"/>
    <w:unhideWhenUsed/>
    <w:rsid w:val="00736E93"/>
    <w:pPr>
      <w:tabs>
        <w:tab w:val="center" w:pos="4320"/>
        <w:tab w:val="right" w:pos="8640"/>
      </w:tabs>
    </w:pPr>
  </w:style>
  <w:style w:type="character" w:customStyle="1" w:styleId="FooterChar">
    <w:name w:val="Footer Char"/>
    <w:basedOn w:val="DefaultParagraphFont"/>
    <w:link w:val="Footer"/>
    <w:uiPriority w:val="99"/>
    <w:rsid w:val="00736E93"/>
  </w:style>
  <w:style w:type="paragraph" w:styleId="BalloonText">
    <w:name w:val="Balloon Text"/>
    <w:basedOn w:val="Normal"/>
    <w:link w:val="BalloonTextChar"/>
    <w:uiPriority w:val="99"/>
    <w:semiHidden/>
    <w:unhideWhenUsed/>
    <w:rsid w:val="00C465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52E"/>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1C77"/>
    <w:rPr>
      <w:sz w:val="16"/>
      <w:szCs w:val="16"/>
    </w:rPr>
  </w:style>
  <w:style w:type="paragraph" w:styleId="CommentText">
    <w:name w:val="annotation text"/>
    <w:basedOn w:val="Normal"/>
    <w:link w:val="CommentTextChar"/>
    <w:uiPriority w:val="99"/>
    <w:semiHidden/>
    <w:unhideWhenUsed/>
    <w:rsid w:val="00DD1C77"/>
    <w:rPr>
      <w:sz w:val="20"/>
      <w:szCs w:val="20"/>
    </w:rPr>
  </w:style>
  <w:style w:type="character" w:customStyle="1" w:styleId="CommentTextChar">
    <w:name w:val="Comment Text Char"/>
    <w:basedOn w:val="DefaultParagraphFont"/>
    <w:link w:val="CommentText"/>
    <w:uiPriority w:val="99"/>
    <w:semiHidden/>
    <w:rsid w:val="00DD1C77"/>
    <w:rPr>
      <w:sz w:val="20"/>
      <w:szCs w:val="20"/>
    </w:rPr>
  </w:style>
  <w:style w:type="paragraph" w:styleId="CommentSubject">
    <w:name w:val="annotation subject"/>
    <w:basedOn w:val="CommentText"/>
    <w:next w:val="CommentText"/>
    <w:link w:val="CommentSubjectChar"/>
    <w:uiPriority w:val="99"/>
    <w:semiHidden/>
    <w:unhideWhenUsed/>
    <w:rsid w:val="00DD1C77"/>
    <w:rPr>
      <w:b/>
      <w:bCs/>
    </w:rPr>
  </w:style>
  <w:style w:type="character" w:customStyle="1" w:styleId="CommentSubjectChar">
    <w:name w:val="Comment Subject Char"/>
    <w:basedOn w:val="CommentTextChar"/>
    <w:link w:val="CommentSubject"/>
    <w:uiPriority w:val="99"/>
    <w:semiHidden/>
    <w:rsid w:val="00DD1C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nitowoccran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y.marten@manitowoc.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0" ma:contentTypeDescription="Create a new document." ma:contentTypeScope="" ma:versionID="8bbaf71fc89a4f5c566e5d4e2d0255f2">
  <xsd:schema xmlns:xsd="http://www.w3.org/2001/XMLSchema" xmlns:xs="http://www.w3.org/2001/XMLSchema" xmlns:p="http://schemas.microsoft.com/office/2006/metadata/properties" xmlns:ns2="50098cef-06c9-4bbf-8ac5-eb0269dd7f7d" targetNamespace="http://schemas.microsoft.com/office/2006/metadata/properties" ma:root="true" ma:fieldsID="88099dfbe52c8659c876c9cd6f5fc2ed" ns2:_="">
    <xsd:import namespace="50098cef-06c9-4bbf-8ac5-eb0269dd7f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DEBF1-797E-47B2-9C0B-E5E3702D2B09}"/>
</file>

<file path=customXml/itemProps2.xml><?xml version="1.0" encoding="utf-8"?>
<ds:datastoreItem xmlns:ds="http://schemas.openxmlformats.org/officeDocument/2006/customXml" ds:itemID="{E0922F0D-4A67-40DB-B299-763C190387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A3ECCE-7CA5-40FE-B6A7-5E700100A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724</Words>
  <Characters>4129</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Besnerais, Thibaut</dc:creator>
  <cp:lastModifiedBy>Mariana Santos</cp:lastModifiedBy>
  <cp:revision>3</cp:revision>
  <dcterms:created xsi:type="dcterms:W3CDTF">2020-03-04T16:26:00Z</dcterms:created>
  <dcterms:modified xsi:type="dcterms:W3CDTF">2020-03-04T18:49:00Z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