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50FC07E8" w14:textId="16E5CB11" w:rsidR="0092578F" w:rsidRPr="00164A29" w:rsidRDefault="00A14584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25</w:t>
      </w:r>
      <w:r w:rsidR="00005D7C">
        <w:rPr>
          <w:rFonts w:ascii="Verdana" w:hAnsi="Verdana"/>
          <w:color w:val="41525C"/>
          <w:sz w:val="18"/>
          <w:szCs w:val="18"/>
        </w:rPr>
        <w:t xml:space="preserve"> de </w:t>
      </w:r>
      <w:r>
        <w:rPr>
          <w:rFonts w:ascii="Verdana" w:hAnsi="Verdana"/>
          <w:color w:val="41525C"/>
          <w:sz w:val="18"/>
          <w:szCs w:val="18"/>
        </w:rPr>
        <w:t>outubro</w:t>
      </w:r>
      <w:r w:rsidR="00005D7C">
        <w:rPr>
          <w:rFonts w:ascii="Verdana" w:hAnsi="Verdana"/>
          <w:color w:val="41525C"/>
          <w:sz w:val="18"/>
          <w:szCs w:val="18"/>
        </w:rPr>
        <w:t xml:space="preserve"> de 2019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4571252" w14:textId="08C84050" w:rsidR="00E13E5B" w:rsidRDefault="00867964" w:rsidP="0049429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lança </w:t>
      </w:r>
      <w:r w:rsidR="00D93574">
        <w:rPr>
          <w:rFonts w:ascii="Georgia" w:hAnsi="Georgia"/>
          <w:b/>
          <w:sz w:val="28"/>
          <w:szCs w:val="28"/>
        </w:rPr>
        <w:t xml:space="preserve">a </w:t>
      </w:r>
      <w:r w:rsidR="00883918">
        <w:rPr>
          <w:rFonts w:ascii="Georgia" w:hAnsi="Georgia"/>
          <w:b/>
          <w:sz w:val="28"/>
          <w:szCs w:val="28"/>
        </w:rPr>
        <w:t>forte</w:t>
      </w:r>
      <w:r w:rsidR="00D93574">
        <w:rPr>
          <w:rFonts w:ascii="Georgia" w:hAnsi="Georgia"/>
          <w:b/>
          <w:sz w:val="28"/>
          <w:szCs w:val="28"/>
        </w:rPr>
        <w:t xml:space="preserve"> e versátil </w:t>
      </w:r>
      <w:r>
        <w:rPr>
          <w:rFonts w:ascii="Georgia" w:hAnsi="Georgia"/>
          <w:b/>
          <w:sz w:val="28"/>
          <w:szCs w:val="28"/>
        </w:rPr>
        <w:t xml:space="preserve">grua Potain MCT 325 </w:t>
      </w:r>
    </w:p>
    <w:p w14:paraId="3C061DA5" w14:textId="77777777" w:rsidR="005E38B3" w:rsidRPr="005E38B3" w:rsidRDefault="005E38B3" w:rsidP="005E38B3">
      <w:pPr>
        <w:pStyle w:val="ListParagraph"/>
        <w:spacing w:line="276" w:lineRule="auto"/>
        <w:rPr>
          <w:rFonts w:ascii="Georgia" w:hAnsi="Georgia"/>
          <w:i/>
          <w:iCs/>
          <w:sz w:val="21"/>
          <w:szCs w:val="21"/>
        </w:rPr>
      </w:pPr>
    </w:p>
    <w:p w14:paraId="05976599" w14:textId="5C1B6D4C" w:rsidR="000B4F99" w:rsidRPr="005E38B3" w:rsidRDefault="000B4F99" w:rsidP="000B4F99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Disponível nas versões de 12</w:t>
      </w:r>
      <w:r w:rsidR="00883918">
        <w:rPr>
          <w:rFonts w:ascii="Georgia" w:hAnsi="Georgia"/>
          <w:i/>
          <w:iCs/>
          <w:sz w:val="21"/>
          <w:szCs w:val="21"/>
        </w:rPr>
        <w:t xml:space="preserve"> t</w:t>
      </w:r>
      <w:r>
        <w:rPr>
          <w:rFonts w:ascii="Georgia" w:hAnsi="Georgia"/>
          <w:i/>
          <w:iCs/>
          <w:sz w:val="21"/>
          <w:szCs w:val="21"/>
        </w:rPr>
        <w:t xml:space="preserve"> e 16 t, a grua é fácil de montar, desmontar e transportar.</w:t>
      </w:r>
    </w:p>
    <w:p w14:paraId="3D213776" w14:textId="6236EA31" w:rsidR="00E13E5B" w:rsidRPr="005E38B3" w:rsidRDefault="00D5597C" w:rsidP="00EA746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Em seu comprimento máximo de jib de 75 m, a nova grua de topo plano pode erguer impressionantes 2,5 t na versão de 12 t</w:t>
      </w:r>
      <w:r w:rsidR="00883918">
        <w:rPr>
          <w:rFonts w:ascii="Georgia" w:hAnsi="Georgia"/>
          <w:i/>
          <w:iCs/>
          <w:sz w:val="21"/>
          <w:szCs w:val="21"/>
        </w:rPr>
        <w:t>,</w:t>
      </w:r>
      <w:r>
        <w:rPr>
          <w:rFonts w:ascii="Georgia" w:hAnsi="Georgia"/>
          <w:i/>
          <w:iCs/>
          <w:sz w:val="21"/>
          <w:szCs w:val="21"/>
        </w:rPr>
        <w:t xml:space="preserve"> e 2,3 t na versão de 16 t.</w:t>
      </w:r>
    </w:p>
    <w:p w14:paraId="3AC22C7F" w14:textId="5190E95D" w:rsidR="00B153A0" w:rsidRPr="005E38B3" w:rsidRDefault="007C010B" w:rsidP="00EA746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grua foi projetada para se adaptar à crescente preferência por concreto pré-moldado no setor de construção.</w:t>
      </w:r>
      <w:r>
        <w:rPr>
          <w:rFonts w:ascii="Georgia" w:hAnsi="Georgia"/>
          <w:i/>
          <w:iCs/>
          <w:sz w:val="21"/>
          <w:szCs w:val="21"/>
        </w:rPr>
        <w:br/>
      </w:r>
    </w:p>
    <w:p w14:paraId="2EFAEFA0" w14:textId="1509BC06" w:rsidR="00884F11" w:rsidRDefault="00884F11" w:rsidP="007C010B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Manitowoc lançou a Potain MCT 325 para ampliar ainda mais sua popular série MCT de gruas de topo plano. Assim como outras gruas da série, a MCT 325 foi projetada para oferecer transporte e montagem mais fáceis, além de garantir alta eficiência e confiabilidade em projetos de construção. A empresa anunciou a nova grua durante um evento na fábrica da Manitowoc </w:t>
      </w:r>
      <w:r w:rsidR="00883918">
        <w:rPr>
          <w:rFonts w:ascii="Georgia" w:hAnsi="Georgia"/>
          <w:sz w:val="21"/>
          <w:szCs w:val="21"/>
        </w:rPr>
        <w:t>em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Zhangjiagang</w:t>
      </w:r>
      <w:proofErr w:type="spellEnd"/>
      <w:r>
        <w:rPr>
          <w:rFonts w:ascii="Georgia" w:hAnsi="Georgia"/>
          <w:sz w:val="21"/>
          <w:szCs w:val="21"/>
        </w:rPr>
        <w:t xml:space="preserve">, na China, no dia 29 de agosto, </w:t>
      </w:r>
      <w:r w:rsidR="00883918">
        <w:rPr>
          <w:rFonts w:ascii="Georgia" w:hAnsi="Georgia"/>
          <w:sz w:val="21"/>
          <w:szCs w:val="21"/>
        </w:rPr>
        <w:t>no qual</w:t>
      </w:r>
      <w:r>
        <w:rPr>
          <w:rFonts w:ascii="Georgia" w:hAnsi="Georgia"/>
          <w:sz w:val="21"/>
          <w:szCs w:val="21"/>
        </w:rPr>
        <w:t xml:space="preserve"> a versão de 16 t da MCT 325 foi exibida com seu jib completo de 75 m.</w:t>
      </w:r>
    </w:p>
    <w:p w14:paraId="06FD0FB6" w14:textId="77777777" w:rsidR="009D4EB8" w:rsidRDefault="009D4EB8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C61F09C" w14:textId="17AB6737" w:rsidR="00884F11" w:rsidRDefault="00884F11" w:rsidP="00044FC7">
      <w:pPr>
        <w:spacing w:line="276" w:lineRule="auto"/>
        <w:rPr>
          <w:rFonts w:ascii="Georgia" w:hAnsi="Georgia" w:cs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Kwong-Joon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Leong</w:t>
      </w:r>
      <w:proofErr w:type="spellEnd"/>
      <w:r>
        <w:rPr>
          <w:rFonts w:ascii="Georgia" w:hAnsi="Georgia"/>
          <w:sz w:val="21"/>
          <w:szCs w:val="21"/>
        </w:rPr>
        <w:t xml:space="preserve">, gerente </w:t>
      </w:r>
      <w:r w:rsidR="00883918">
        <w:rPr>
          <w:rFonts w:ascii="Georgia" w:hAnsi="Georgia"/>
          <w:sz w:val="21"/>
          <w:szCs w:val="21"/>
        </w:rPr>
        <w:t xml:space="preserve">regional </w:t>
      </w:r>
      <w:r>
        <w:rPr>
          <w:rFonts w:ascii="Georgia" w:hAnsi="Georgia"/>
          <w:sz w:val="21"/>
          <w:szCs w:val="21"/>
        </w:rPr>
        <w:t xml:space="preserve">de produtos das gruas de torre Potain, explicou que o novo modelo oferece uma solução eficiente para clientes que precisam de gruas fortes e versáteis na classe de 12 </w:t>
      </w:r>
      <w:r w:rsidR="00883918">
        <w:rPr>
          <w:rFonts w:ascii="Georgia" w:hAnsi="Georgia"/>
          <w:sz w:val="21"/>
          <w:szCs w:val="21"/>
        </w:rPr>
        <w:t xml:space="preserve">t </w:t>
      </w:r>
      <w:r>
        <w:rPr>
          <w:rFonts w:ascii="Georgia" w:hAnsi="Georgia"/>
          <w:sz w:val="21"/>
          <w:szCs w:val="21"/>
        </w:rPr>
        <w:t>e 16 t.</w:t>
      </w:r>
    </w:p>
    <w:p w14:paraId="51507ACA" w14:textId="17836C5B" w:rsidR="00884F11" w:rsidRDefault="00884F11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111B766" w14:textId="7E872B37" w:rsidR="00705A28" w:rsidRDefault="00183575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“Gruas de topo plano como a MCT 325 estão se tornando a solução ideal para projetos que utilizam concreto pré-moldado, uma escolha cada vez mais popular pela velocidade e simplicidade que ela</w:t>
      </w:r>
      <w:r w:rsidR="00883918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leva</w:t>
      </w:r>
      <w:r w:rsidR="00883918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 ao canteiro de obras”, disse </w:t>
      </w:r>
      <w:proofErr w:type="spellStart"/>
      <w:r>
        <w:rPr>
          <w:rFonts w:ascii="Georgia" w:hAnsi="Georgia"/>
          <w:sz w:val="21"/>
          <w:szCs w:val="21"/>
        </w:rPr>
        <w:t>Leong</w:t>
      </w:r>
      <w:proofErr w:type="spellEnd"/>
      <w:r>
        <w:rPr>
          <w:rFonts w:ascii="Georgia" w:hAnsi="Georgia"/>
          <w:sz w:val="21"/>
          <w:szCs w:val="21"/>
        </w:rPr>
        <w:t xml:space="preserve">. “As gruas de topo plano também proporcionam velocidade e simplicidade aos projetos graças ao seu design, que permite sobrepor várias unidades na obra.  A MCT 325 dá aos nossos clientes uma nova opção nas séries de 12 </w:t>
      </w:r>
      <w:r w:rsidR="003F53A9">
        <w:rPr>
          <w:rFonts w:ascii="Georgia" w:hAnsi="Georgia"/>
          <w:sz w:val="21"/>
          <w:szCs w:val="21"/>
        </w:rPr>
        <w:t xml:space="preserve">t </w:t>
      </w:r>
      <w:r>
        <w:rPr>
          <w:rFonts w:ascii="Georgia" w:hAnsi="Georgia"/>
          <w:sz w:val="21"/>
          <w:szCs w:val="21"/>
        </w:rPr>
        <w:t xml:space="preserve">e 16 t. E com seu impressionante jib de 75 m, acreditamos que esse novo modelo atrairá uma nova gama de empresas e projetos.” </w:t>
      </w:r>
    </w:p>
    <w:p w14:paraId="42594E77" w14:textId="007FDCF3" w:rsidR="00884F11" w:rsidRDefault="00884F11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E9DDC90" w14:textId="52D62F43" w:rsidR="00637112" w:rsidRDefault="00183575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Disponível em duas versões, a MCT 325 oferece configurações de comprimento do jib que variam de 40 m até incríveis 75 m, em incrementos de 5 m. Na extremidade de seu jib de 75 m, a MCT 325 pode erguer 2,5 t na versão de 12 t e 2,3 t na versão de 16 t, tornando-a uma das melhores máquinas para deslocamento em longas distâncias. O novo modelo permanece fiel às características de projeto das gruas de topo plano Potain, com transporte e montagem fáceis combinados ao excelente desempenho na obra. Em um canteiro de obras bem</w:t>
      </w:r>
      <w:r w:rsidR="003F53A9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preparado, a MCT 325 pode ser configurada em até 1 dia e meio, com o jib completo e o </w:t>
      </w:r>
      <w:proofErr w:type="spellStart"/>
      <w:r>
        <w:rPr>
          <w:rFonts w:ascii="Georgia" w:hAnsi="Georgia"/>
          <w:sz w:val="21"/>
          <w:szCs w:val="21"/>
        </w:rPr>
        <w:t>contrajib</w:t>
      </w:r>
      <w:proofErr w:type="spellEnd"/>
      <w:r>
        <w:rPr>
          <w:rFonts w:ascii="Georgia" w:hAnsi="Georgia"/>
          <w:sz w:val="21"/>
          <w:szCs w:val="21"/>
        </w:rPr>
        <w:t xml:space="preserve"> montados em quatro elevações. A MCT 325 substituirá o modelo MC 310, uma grua de torre giratória cabeça de martelo popular, com longos anos de serviço e um histórico comprovado de satisfação dos clientes.  </w:t>
      </w:r>
    </w:p>
    <w:p w14:paraId="3C685645" w14:textId="09C262D8" w:rsidR="00705A28" w:rsidRDefault="00705A28" w:rsidP="00637112">
      <w:pPr>
        <w:rPr>
          <w:rFonts w:ascii="Georgia" w:hAnsi="Georgia" w:cs="Arial"/>
          <w:sz w:val="21"/>
          <w:szCs w:val="21"/>
        </w:rPr>
      </w:pPr>
    </w:p>
    <w:p w14:paraId="6DB0C708" w14:textId="79B09096" w:rsidR="00FC2661" w:rsidRDefault="00705A28" w:rsidP="00FC2661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A MCT 325 foi projetada para trabalhar com os sistemas de mastro L68 e L69 de 2 m x 2 m e pode ser utilizada com ângulos fixos em uma construção regular em grandes alturas, em uma configuração de subida interna ou montada em um chassi, dando aos usuários o máximo de versatilidade. Há também um novo projeto quadrado do </w:t>
      </w:r>
      <w:proofErr w:type="spellStart"/>
      <w:r>
        <w:rPr>
          <w:rFonts w:ascii="Georgia" w:hAnsi="Georgia"/>
          <w:sz w:val="21"/>
          <w:szCs w:val="21"/>
        </w:rPr>
        <w:t>contrajib</w:t>
      </w:r>
      <w:proofErr w:type="spellEnd"/>
      <w:r>
        <w:rPr>
          <w:rFonts w:ascii="Georgia" w:hAnsi="Georgia"/>
          <w:sz w:val="21"/>
          <w:szCs w:val="21"/>
        </w:rPr>
        <w:t xml:space="preserve"> da grua, o primeiro na série MCT da Potain. Para garantir uma montagem mais fácil no canteiro de obras, o jib completo e o </w:t>
      </w:r>
      <w:proofErr w:type="spellStart"/>
      <w:r>
        <w:rPr>
          <w:rFonts w:ascii="Georgia" w:hAnsi="Georgia"/>
          <w:sz w:val="21"/>
          <w:szCs w:val="21"/>
        </w:rPr>
        <w:t>contrajib</w:t>
      </w:r>
      <w:proofErr w:type="spellEnd"/>
      <w:r>
        <w:rPr>
          <w:rFonts w:ascii="Georgia" w:hAnsi="Georgia"/>
          <w:sz w:val="21"/>
          <w:szCs w:val="21"/>
        </w:rPr>
        <w:t xml:space="preserve"> podem ser montados em duas elevações cada, o que significa que uma maior variedade de guindastes auxiliares poderá ser utilizada para a tarefa. Além disso, há pontos de linga dedicados no </w:t>
      </w:r>
      <w:proofErr w:type="spellStart"/>
      <w:r>
        <w:rPr>
          <w:rFonts w:ascii="Georgia" w:hAnsi="Georgia"/>
          <w:sz w:val="21"/>
          <w:szCs w:val="21"/>
        </w:rPr>
        <w:t>contrajib</w:t>
      </w:r>
      <w:proofErr w:type="spellEnd"/>
      <w:r>
        <w:rPr>
          <w:rFonts w:ascii="Georgia" w:hAnsi="Georgia"/>
          <w:sz w:val="21"/>
          <w:szCs w:val="21"/>
        </w:rPr>
        <w:t xml:space="preserve"> e suportes de transporte no jib para facilitar o carregamento na configuração compacta de transporte da grua.   </w:t>
      </w:r>
    </w:p>
    <w:p w14:paraId="6102E120" w14:textId="77777777" w:rsidR="00FC2661" w:rsidRDefault="00FC2661" w:rsidP="00705A28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82E50A1" w14:textId="383E2C08" w:rsidR="00705A28" w:rsidRDefault="000837FF" w:rsidP="00705A28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Assim como com todas as gruas Potain, os clientes têm uma variedade de opções para mecanismos de elevação de carga, giro e carro. Há uma variedade de opções de guincho, todas com tecnologia controlada por frequência. A versão de 12 t vem com o 75 LVFC 30 padrão ou com a opção de melhoria para o 75 HPL 30. A versão de 16 t vem com o 75 LVFC 40 padrão ou com a opção de melhoria para o 75 HPL 40 ou 100 LVF 40. O 75 LVFC 30, um guincho com potência nominal de 55 kW, oferece uma capacidade de cabo de 766 m e pode elevar 1,5 t a até 114 m/min. O 75 LVFC 40, um guincho com potência nominal de 55 kW, oferece uma capacidade de cabo de 637 m e pode elevar 2 t a 90 m/min. Os guinchos estão disponíveis com uma opção de freio de segurança.</w:t>
      </w:r>
    </w:p>
    <w:p w14:paraId="0D09A638" w14:textId="77777777" w:rsidR="00884F11" w:rsidRDefault="00884F11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D227A85" w14:textId="23DDB01C" w:rsidR="00E13E5B" w:rsidRDefault="005800F5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Em 2014, a Manitowoc lançou sua primeira grua Potain de topo plano </w:t>
      </w:r>
      <w:r w:rsidR="003F53A9">
        <w:rPr>
          <w:rFonts w:ascii="Georgia" w:hAnsi="Georgia"/>
          <w:sz w:val="21"/>
          <w:szCs w:val="21"/>
        </w:rPr>
        <w:t>fabricada em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Zhangjiagang</w:t>
      </w:r>
      <w:proofErr w:type="spellEnd"/>
      <w:r>
        <w:rPr>
          <w:rFonts w:ascii="Georgia" w:hAnsi="Georgia"/>
          <w:sz w:val="21"/>
          <w:szCs w:val="21"/>
        </w:rPr>
        <w:t xml:space="preserve">, a MCT 385. Ao longo dos anos, a empresa continuou a inovar e acrescentou a MCT 205, MCT 85, MCT 565 e agora a MCT 325 para complementar a série. </w:t>
      </w:r>
    </w:p>
    <w:p w14:paraId="28B41A4B" w14:textId="7F04687E" w:rsidR="005800F5" w:rsidRDefault="005800F5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729B7D6" w14:textId="162C3425" w:rsidR="005800F5" w:rsidRDefault="005800F5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“Estamos muito felizes em adicionar a MCT 325 à nossa série, apenas 18 meses após o lançamento da MCT 565, a maior grua de topo plano na série asiática da Potain”, declarou </w:t>
      </w:r>
      <w:proofErr w:type="spellStart"/>
      <w:r>
        <w:rPr>
          <w:rFonts w:ascii="Georgia" w:hAnsi="Georgia"/>
          <w:sz w:val="21"/>
          <w:szCs w:val="21"/>
        </w:rPr>
        <w:t>Leong</w:t>
      </w:r>
      <w:proofErr w:type="spellEnd"/>
      <w:r>
        <w:rPr>
          <w:rFonts w:ascii="Georgia" w:hAnsi="Georgia"/>
          <w:sz w:val="21"/>
          <w:szCs w:val="21"/>
        </w:rPr>
        <w:t xml:space="preserve">. “Ao seguir </w:t>
      </w:r>
      <w:r>
        <w:rPr>
          <w:rFonts w:ascii="Georgia" w:hAnsi="Georgia"/>
          <w:i/>
          <w:iCs/>
          <w:sz w:val="21"/>
          <w:szCs w:val="21"/>
        </w:rPr>
        <w:t xml:space="preserve">O </w:t>
      </w:r>
      <w:r w:rsidR="003F53A9">
        <w:rPr>
          <w:rFonts w:ascii="Georgia" w:hAnsi="Georgia"/>
          <w:i/>
          <w:iCs/>
          <w:sz w:val="21"/>
          <w:szCs w:val="21"/>
        </w:rPr>
        <w:t>M</w:t>
      </w:r>
      <w:r>
        <w:rPr>
          <w:rFonts w:ascii="Georgia" w:hAnsi="Georgia"/>
          <w:i/>
          <w:iCs/>
          <w:sz w:val="21"/>
          <w:szCs w:val="21"/>
        </w:rPr>
        <w:t>odo Manitowoc</w:t>
      </w:r>
      <w:r>
        <w:rPr>
          <w:rFonts w:ascii="Georgia" w:hAnsi="Georgia"/>
          <w:sz w:val="21"/>
          <w:szCs w:val="21"/>
        </w:rPr>
        <w:t>, ouvimos continuamente nossos clientes para que possamos desenvolver produtos inovadores que se adequem às necessidades deles em evolução.”</w:t>
      </w:r>
    </w:p>
    <w:p w14:paraId="48B37F99" w14:textId="2932F5A9" w:rsidR="005800F5" w:rsidRDefault="005800F5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509A116" w14:textId="5B30278B" w:rsidR="00705A28" w:rsidRDefault="00705A28" w:rsidP="00705A28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Assim como com todas as gruas Potain da série asiática da empresa, a Manitowoc espera um forte interesse no novo modelo. As entregas da Potain MCT 325 começarão </w:t>
      </w:r>
      <w:r w:rsidR="003F53A9">
        <w:rPr>
          <w:rFonts w:ascii="Georgia" w:hAnsi="Georgia"/>
          <w:sz w:val="21"/>
          <w:szCs w:val="21"/>
        </w:rPr>
        <w:t>neste mês de</w:t>
      </w:r>
      <w:r>
        <w:rPr>
          <w:rFonts w:ascii="Georgia" w:hAnsi="Georgia"/>
          <w:sz w:val="21"/>
          <w:szCs w:val="21"/>
        </w:rPr>
        <w:t xml:space="preserve"> setembro, e a grua será vendida na região Ásia-Pacífico, no Oriente Médio, na África, América Latina e Rússia, assim como nos países da Comunidade dos Estados Independentes (CEI).</w:t>
      </w:r>
    </w:p>
    <w:p w14:paraId="01F112B1" w14:textId="77777777" w:rsidR="00E13E5B" w:rsidRPr="00E06736" w:rsidRDefault="00E13E5B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2B518AF8" w:rsidR="0065068E" w:rsidRPr="006A69FE" w:rsidRDefault="00BC4DD0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1F9EB314" w14:textId="42292E0A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Punitha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</w:rPr>
        <w:t>Govindasamy</w:t>
      </w:r>
      <w:proofErr w:type="spellEnd"/>
      <w:r>
        <w:rPr>
          <w:rFonts w:ascii="Verdana" w:hAnsi="Verdana"/>
          <w:sz w:val="18"/>
          <w:szCs w:val="18"/>
        </w:rPr>
        <w:tab/>
      </w:r>
    </w:p>
    <w:p w14:paraId="2648D95D" w14:textId="56087E55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rFonts w:ascii="Verdana" w:hAnsi="Verdana"/>
          <w:sz w:val="18"/>
          <w:szCs w:val="18"/>
        </w:rPr>
        <w:tab/>
      </w:r>
    </w:p>
    <w:p w14:paraId="53C7891E" w14:textId="5BFFBA74" w:rsidR="00164A29" w:rsidRPr="00D93574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D93574">
        <w:rPr>
          <w:rFonts w:ascii="Verdana" w:hAnsi="Verdana"/>
          <w:color w:val="41525C"/>
          <w:sz w:val="18"/>
          <w:szCs w:val="18"/>
          <w:lang w:val="en-US"/>
        </w:rPr>
        <w:t>T +65 6263 7863</w:t>
      </w:r>
      <w:r w:rsidRPr="00D93574">
        <w:rPr>
          <w:rFonts w:ascii="Verdana" w:hAnsi="Verdana"/>
          <w:color w:val="41525C"/>
          <w:sz w:val="18"/>
          <w:szCs w:val="18"/>
          <w:lang w:val="en-US"/>
        </w:rPr>
        <w:tab/>
      </w:r>
    </w:p>
    <w:p w14:paraId="28E436EA" w14:textId="1F4D954E" w:rsidR="00164A29" w:rsidRPr="00D93574" w:rsidRDefault="002A54D3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US"/>
        </w:rPr>
      </w:pPr>
      <w:hyperlink r:id="rId9" w:history="1">
        <w:r w:rsidR="00FD286C" w:rsidRPr="00D93574">
          <w:rPr>
            <w:rStyle w:val="Hyperlink"/>
            <w:rFonts w:ascii="Verdana" w:hAnsi="Verdana"/>
            <w:color w:val="41525C"/>
            <w:sz w:val="18"/>
            <w:szCs w:val="18"/>
            <w:lang w:val="en-US"/>
          </w:rPr>
          <w:t>punitha.govindasamy@manitowoc.com</w:t>
        </w:r>
      </w:hyperlink>
    </w:p>
    <w:p w14:paraId="78526A87" w14:textId="1507E450" w:rsidR="00D4675D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6ACE8FB4" w14:textId="116BCC0A" w:rsidR="00A14584" w:rsidRDefault="00A14584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6F7F5D31" w14:textId="77777777" w:rsidR="00A14584" w:rsidRPr="00D93574" w:rsidRDefault="00A14584" w:rsidP="00044FC7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2710447C" w14:textId="77777777" w:rsidR="00A14584" w:rsidRDefault="00E44F40" w:rsidP="00E44F40">
      <w:pPr>
        <w:pStyle w:val="NormalWeb"/>
        <w:textAlignment w:val="top"/>
        <w:rPr>
          <w:rFonts w:ascii="Georgia" w:hAnsi="Georgia"/>
          <w:color w:val="41525C"/>
          <w:sz w:val="19"/>
          <w:szCs w:val="19"/>
          <w:lang w:val="en-US"/>
        </w:rPr>
      </w:pPr>
      <w:proofErr w:type="spellStart"/>
      <w:r w:rsidRPr="00D93574">
        <w:rPr>
          <w:rFonts w:ascii="Georgia" w:hAnsi="Georgia"/>
          <w:b/>
          <w:bCs/>
          <w:color w:val="41525C"/>
          <w:sz w:val="19"/>
          <w:szCs w:val="19"/>
          <w:lang w:val="en-US"/>
        </w:rPr>
        <w:lastRenderedPageBreak/>
        <w:t>Sobre</w:t>
      </w:r>
      <w:proofErr w:type="spellEnd"/>
      <w:r w:rsidRPr="00D93574">
        <w:rPr>
          <w:rFonts w:ascii="Georgia" w:hAnsi="Georgia"/>
          <w:b/>
          <w:bCs/>
          <w:color w:val="41525C"/>
          <w:sz w:val="19"/>
          <w:szCs w:val="19"/>
          <w:lang w:val="en-US"/>
        </w:rPr>
        <w:t xml:space="preserve"> a Manitowoc Company, Inc.</w:t>
      </w:r>
    </w:p>
    <w:p w14:paraId="64CB4394" w14:textId="2C4325DC" w:rsidR="00E44F40" w:rsidRPr="00A14584" w:rsidRDefault="00E44F40" w:rsidP="00E44F40">
      <w:pPr>
        <w:pStyle w:val="NormalWeb"/>
        <w:textAlignment w:val="top"/>
        <w:rPr>
          <w:rFonts w:ascii="Georgia" w:hAnsi="Georgia"/>
          <w:color w:val="41525C"/>
          <w:sz w:val="19"/>
          <w:szCs w:val="19"/>
          <w:lang w:val="en-US"/>
        </w:rPr>
      </w:pPr>
      <w:bookmarkStart w:id="0" w:name="_GoBack"/>
      <w:bookmarkEnd w:id="0"/>
      <w:r w:rsidRPr="00D93574">
        <w:rPr>
          <w:rFonts w:ascii="Georgia" w:hAnsi="Georgia"/>
          <w:color w:val="41525C"/>
          <w:sz w:val="19"/>
          <w:szCs w:val="19"/>
          <w:lang w:val="en-US"/>
        </w:rPr>
        <w:t xml:space="preserve">A Manitowoc Company, Inc. </w:t>
      </w:r>
      <w:r>
        <w:rPr>
          <w:rFonts w:ascii="Georgia" w:hAnsi="Georgia"/>
          <w:color w:val="41525C"/>
          <w:sz w:val="19"/>
          <w:szCs w:val="19"/>
        </w:rPr>
        <w:t xml:space="preserve">(“Manitowoc”) foi fundada em 1902 e tem mais de 116 anos de tradição no fornecimento de produtos de alta qualidade, focados nas necessidades do cliente e em serviços de suporte para os seus mercados, tendo totalizado cerca de US$ 1,8 bilhão em vendas líquidas em 2018. A Manitowoc é líder em soluções de engenharia de elevação. A Manitowoc, por meio de suas subsidiárias, projeta, </w:t>
      </w:r>
      <w:proofErr w:type="gramStart"/>
      <w:r>
        <w:rPr>
          <w:rFonts w:ascii="Georgia" w:hAnsi="Georgia"/>
          <w:color w:val="41525C"/>
          <w:sz w:val="19"/>
          <w:szCs w:val="19"/>
        </w:rPr>
        <w:t>fabrica</w:t>
      </w:r>
      <w:proofErr w:type="gramEnd"/>
      <w:r>
        <w:rPr>
          <w:rFonts w:ascii="Georgia" w:hAnsi="Georgia"/>
          <w:color w:val="41525C"/>
          <w:sz w:val="19"/>
          <w:szCs w:val="19"/>
        </w:rPr>
        <w:t xml:space="preserve">, comercializa e presta suporte a linhas completas de produtos como guindastes telescópicos móveis, guindastes de torre, guindaste de esteira de lança </w:t>
      </w:r>
      <w:proofErr w:type="spellStart"/>
      <w:r>
        <w:rPr>
          <w:rFonts w:ascii="Georgia" w:hAnsi="Georgia"/>
          <w:color w:val="41525C"/>
          <w:sz w:val="19"/>
          <w:szCs w:val="19"/>
        </w:rPr>
        <w:t>treliçada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e guindastes montados sobre caminhões comerciais sob as marcas Grove, Manitowoc, </w:t>
      </w:r>
      <w:proofErr w:type="spellStart"/>
      <w:r>
        <w:rPr>
          <w:rFonts w:ascii="Georgia" w:hAnsi="Georgia"/>
          <w:color w:val="41525C"/>
          <w:sz w:val="19"/>
          <w:szCs w:val="19"/>
        </w:rPr>
        <w:t>National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  <w:szCs w:val="19"/>
        </w:rPr>
        <w:t>Crane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, Potain, </w:t>
      </w:r>
      <w:proofErr w:type="spellStart"/>
      <w:r>
        <w:rPr>
          <w:rFonts w:ascii="Georgia" w:hAnsi="Georgia"/>
          <w:color w:val="41525C"/>
          <w:sz w:val="19"/>
          <w:szCs w:val="19"/>
        </w:rPr>
        <w:t>Shuttlelift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e Manitowoc </w:t>
      </w:r>
      <w:proofErr w:type="spellStart"/>
      <w:r>
        <w:rPr>
          <w:rFonts w:ascii="Georgia" w:hAnsi="Georgia"/>
          <w:color w:val="41525C"/>
          <w:sz w:val="19"/>
          <w:szCs w:val="19"/>
        </w:rPr>
        <w:t>Crane</w:t>
      </w:r>
      <w:proofErr w:type="spellEnd"/>
      <w:r>
        <w:rPr>
          <w:rFonts w:ascii="Georgia" w:hAnsi="Georgia"/>
          <w:color w:val="41525C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  <w:szCs w:val="19"/>
        </w:rPr>
        <w:t>Care</w:t>
      </w:r>
      <w:proofErr w:type="spellEnd"/>
      <w:r>
        <w:rPr>
          <w:rFonts w:ascii="Georgia" w:hAnsi="Georgia"/>
          <w:color w:val="41525C"/>
          <w:sz w:val="19"/>
          <w:szCs w:val="19"/>
        </w:rPr>
        <w:t>.</w:t>
      </w:r>
    </w:p>
    <w:p w14:paraId="0C768E00" w14:textId="77777777" w:rsidR="00076A78" w:rsidRPr="009222C2" w:rsidRDefault="00076A78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D93574" w:rsidRDefault="00757C8B" w:rsidP="00044FC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D93574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D93574" w:rsidRDefault="00E5625C" w:rsidP="00B53A5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D93574">
        <w:rPr>
          <w:rFonts w:ascii="Verdana" w:hAnsi="Verdana"/>
          <w:color w:val="41525C"/>
          <w:sz w:val="18"/>
          <w:lang w:val="en-US"/>
        </w:rPr>
        <w:t>One Park Plaza – 11270 West Park Place</w:t>
      </w:r>
      <w:r w:rsidRPr="00D93574">
        <w:rPr>
          <w:rFonts w:ascii="Verdana" w:hAnsi="Verdana"/>
          <w:sz w:val="18"/>
          <w:lang w:val="en-US"/>
        </w:rPr>
        <w:t xml:space="preserve"> – Suite 1000 – </w:t>
      </w:r>
      <w:r w:rsidRPr="00D93574">
        <w:rPr>
          <w:rFonts w:ascii="Verdana" w:hAnsi="Verdana"/>
          <w:color w:val="41525C"/>
          <w:sz w:val="18"/>
          <w:lang w:val="en-US"/>
        </w:rPr>
        <w:t>Milwaukee, WI 53224, EUA</w:t>
      </w:r>
    </w:p>
    <w:p w14:paraId="45E0E2EC" w14:textId="3245B42D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6CFADD10" w14:textId="0AC7A86F" w:rsidR="007B3EED" w:rsidRPr="0065068E" w:rsidRDefault="002A54D3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FD286C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7B3EED" w:rsidRPr="0065068E" w:rsidSect="007B3EE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7A4C4" w14:textId="77777777" w:rsidR="002A54D3" w:rsidRDefault="002A54D3">
      <w:r>
        <w:separator/>
      </w:r>
    </w:p>
  </w:endnote>
  <w:endnote w:type="continuationSeparator" w:id="0">
    <w:p w14:paraId="7C25437D" w14:textId="77777777" w:rsidR="002A54D3" w:rsidRDefault="002A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0637ED7" w14:textId="77777777" w:rsidTr="5EF8E147">
      <w:tc>
        <w:tcPr>
          <w:tcW w:w="3139" w:type="dxa"/>
        </w:tcPr>
        <w:p w14:paraId="7A51FEAB" w14:textId="6AFA5461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79A0D4E0" w14:textId="59C7C48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3FA391F2" w14:textId="69E0B592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8E84B47" w14:textId="4B1B2603" w:rsidR="5EF8E147" w:rsidRDefault="5EF8E147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2350F4B6" w14:textId="77777777" w:rsidTr="5EF8E147">
      <w:tc>
        <w:tcPr>
          <w:tcW w:w="3139" w:type="dxa"/>
        </w:tcPr>
        <w:p w14:paraId="0893D73A" w14:textId="7AFF9FA2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6C2D8CE7" w14:textId="21DB9A52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10DFA627" w14:textId="72780F80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0B947675" w14:textId="69D04F43" w:rsidR="5EF8E147" w:rsidRDefault="5EF8E147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5DA1" w14:textId="77777777" w:rsidR="002A54D3" w:rsidRDefault="002A54D3">
      <w:r>
        <w:separator/>
      </w:r>
    </w:p>
  </w:footnote>
  <w:footnote w:type="continuationSeparator" w:id="0">
    <w:p w14:paraId="7D1314F9" w14:textId="77777777" w:rsidR="002A54D3" w:rsidRDefault="002A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FD35" w14:textId="1420273D" w:rsidR="00B9173B" w:rsidRPr="00164A29" w:rsidRDefault="00005D7C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lança a grua Potain MCT 325</w:t>
    </w:r>
  </w:p>
  <w:p w14:paraId="7481B7E9" w14:textId="01076DB2" w:rsidR="00B9173B" w:rsidRPr="00164A29" w:rsidRDefault="00A14584" w:rsidP="5EF8E147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25</w:t>
    </w:r>
    <w:r w:rsidR="00005D7C">
      <w:rPr>
        <w:rFonts w:ascii="Verdana" w:hAnsi="Verdana"/>
        <w:color w:val="41525C"/>
        <w:sz w:val="18"/>
        <w:szCs w:val="18"/>
      </w:rPr>
      <w:t xml:space="preserve"> de </w:t>
    </w:r>
    <w:r>
      <w:rPr>
        <w:rFonts w:ascii="Verdana" w:hAnsi="Verdana"/>
        <w:color w:val="41525C"/>
        <w:sz w:val="18"/>
        <w:szCs w:val="18"/>
      </w:rPr>
      <w:t>outubro</w:t>
    </w:r>
    <w:r w:rsidR="00005D7C">
      <w:rPr>
        <w:rFonts w:ascii="Verdana" w:hAnsi="Verdana"/>
        <w:color w:val="41525C"/>
        <w:sz w:val="18"/>
        <w:szCs w:val="18"/>
      </w:rPr>
      <w:t xml:space="preserve"> de 2019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5EF8E147" w14:paraId="14301DF7" w14:textId="77777777" w:rsidTr="5EF8E147">
      <w:tc>
        <w:tcPr>
          <w:tcW w:w="3139" w:type="dxa"/>
        </w:tcPr>
        <w:p w14:paraId="796D2092" w14:textId="0C52B3C3"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14:paraId="22F2B7BB" w14:textId="339089C6"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14:paraId="7443278A" w14:textId="466C5061" w:rsidR="5EF8E147" w:rsidRDefault="5EF8E147" w:rsidP="5EF8E147">
          <w:pPr>
            <w:pStyle w:val="Header"/>
            <w:ind w:right="-115"/>
            <w:jc w:val="right"/>
          </w:pPr>
        </w:p>
      </w:tc>
    </w:tr>
  </w:tbl>
  <w:p w14:paraId="1360000B" w14:textId="4F636918" w:rsidR="5EF8E147" w:rsidRDefault="5EF8E147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D679C"/>
    <w:multiLevelType w:val="hybridMultilevel"/>
    <w:tmpl w:val="10B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D7C"/>
    <w:rsid w:val="00005F74"/>
    <w:rsid w:val="00007FF2"/>
    <w:rsid w:val="00010566"/>
    <w:rsid w:val="00011DF6"/>
    <w:rsid w:val="0001387C"/>
    <w:rsid w:val="000149AE"/>
    <w:rsid w:val="00015294"/>
    <w:rsid w:val="000172C9"/>
    <w:rsid w:val="00017504"/>
    <w:rsid w:val="000202FB"/>
    <w:rsid w:val="00022E8A"/>
    <w:rsid w:val="0002384A"/>
    <w:rsid w:val="000306B2"/>
    <w:rsid w:val="00030BEE"/>
    <w:rsid w:val="000313AB"/>
    <w:rsid w:val="000320F5"/>
    <w:rsid w:val="000338AF"/>
    <w:rsid w:val="00033A4B"/>
    <w:rsid w:val="00034578"/>
    <w:rsid w:val="00034B47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7F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95923"/>
    <w:rsid w:val="000A27D5"/>
    <w:rsid w:val="000A75DA"/>
    <w:rsid w:val="000B0801"/>
    <w:rsid w:val="000B168F"/>
    <w:rsid w:val="000B374E"/>
    <w:rsid w:val="000B4AA8"/>
    <w:rsid w:val="000B4D86"/>
    <w:rsid w:val="000B4F99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E7541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3529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575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5F6D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E03"/>
    <w:rsid w:val="002942F9"/>
    <w:rsid w:val="00294477"/>
    <w:rsid w:val="00295C79"/>
    <w:rsid w:val="0029600C"/>
    <w:rsid w:val="002976FC"/>
    <w:rsid w:val="0029799F"/>
    <w:rsid w:val="002A0AC9"/>
    <w:rsid w:val="002A54D3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4D0"/>
    <w:rsid w:val="002C753A"/>
    <w:rsid w:val="002C7AA4"/>
    <w:rsid w:val="002D04E3"/>
    <w:rsid w:val="002D1C44"/>
    <w:rsid w:val="002D2BD6"/>
    <w:rsid w:val="002E2756"/>
    <w:rsid w:val="002E27E2"/>
    <w:rsid w:val="002E41F1"/>
    <w:rsid w:val="002E61D0"/>
    <w:rsid w:val="002E7578"/>
    <w:rsid w:val="002E793B"/>
    <w:rsid w:val="002F1799"/>
    <w:rsid w:val="002F6770"/>
    <w:rsid w:val="002F7176"/>
    <w:rsid w:val="002F7915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231DC"/>
    <w:rsid w:val="003313F5"/>
    <w:rsid w:val="00331D32"/>
    <w:rsid w:val="00337CB8"/>
    <w:rsid w:val="00340208"/>
    <w:rsid w:val="00340800"/>
    <w:rsid w:val="00340EE2"/>
    <w:rsid w:val="003413D8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4A94"/>
    <w:rsid w:val="0036530E"/>
    <w:rsid w:val="003657A3"/>
    <w:rsid w:val="0036591D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43F0"/>
    <w:rsid w:val="003A7E95"/>
    <w:rsid w:val="003A7F10"/>
    <w:rsid w:val="003B20DE"/>
    <w:rsid w:val="003B31F6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04A8"/>
    <w:rsid w:val="003E31C0"/>
    <w:rsid w:val="003E702D"/>
    <w:rsid w:val="003F1300"/>
    <w:rsid w:val="003F46E7"/>
    <w:rsid w:val="003F53A9"/>
    <w:rsid w:val="0040002D"/>
    <w:rsid w:val="00400166"/>
    <w:rsid w:val="00401096"/>
    <w:rsid w:val="0040354B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3170"/>
    <w:rsid w:val="00464C2E"/>
    <w:rsid w:val="004664E0"/>
    <w:rsid w:val="004741EF"/>
    <w:rsid w:val="00474F44"/>
    <w:rsid w:val="004769DB"/>
    <w:rsid w:val="00480B96"/>
    <w:rsid w:val="0048333E"/>
    <w:rsid w:val="00484BAD"/>
    <w:rsid w:val="00485AF2"/>
    <w:rsid w:val="00485E2A"/>
    <w:rsid w:val="00490E4F"/>
    <w:rsid w:val="004912AD"/>
    <w:rsid w:val="004941FF"/>
    <w:rsid w:val="00494296"/>
    <w:rsid w:val="00494523"/>
    <w:rsid w:val="00496628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48C3"/>
    <w:rsid w:val="00506C1D"/>
    <w:rsid w:val="00506DB8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00F5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179D"/>
    <w:rsid w:val="005E25D0"/>
    <w:rsid w:val="005E38B3"/>
    <w:rsid w:val="005E42C1"/>
    <w:rsid w:val="005E66DF"/>
    <w:rsid w:val="005F2082"/>
    <w:rsid w:val="005F251F"/>
    <w:rsid w:val="005F2B2D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112"/>
    <w:rsid w:val="006377D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0ABA"/>
    <w:rsid w:val="006B13CE"/>
    <w:rsid w:val="006B42DA"/>
    <w:rsid w:val="006B4403"/>
    <w:rsid w:val="006B5FDE"/>
    <w:rsid w:val="006C1643"/>
    <w:rsid w:val="006C18D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5AB4"/>
    <w:rsid w:val="006F6F14"/>
    <w:rsid w:val="007001DA"/>
    <w:rsid w:val="00700B61"/>
    <w:rsid w:val="0070354D"/>
    <w:rsid w:val="00703EC8"/>
    <w:rsid w:val="00704D26"/>
    <w:rsid w:val="00705A28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785"/>
    <w:rsid w:val="00726FA7"/>
    <w:rsid w:val="00727405"/>
    <w:rsid w:val="007278F7"/>
    <w:rsid w:val="00732570"/>
    <w:rsid w:val="007347FD"/>
    <w:rsid w:val="0073534B"/>
    <w:rsid w:val="00735733"/>
    <w:rsid w:val="0073638B"/>
    <w:rsid w:val="00737CDE"/>
    <w:rsid w:val="007408D7"/>
    <w:rsid w:val="00742ACE"/>
    <w:rsid w:val="00742F26"/>
    <w:rsid w:val="007430BE"/>
    <w:rsid w:val="0074379C"/>
    <w:rsid w:val="00745426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1F6"/>
    <w:rsid w:val="0076520B"/>
    <w:rsid w:val="00765D6A"/>
    <w:rsid w:val="00765EB1"/>
    <w:rsid w:val="00767946"/>
    <w:rsid w:val="00770B6A"/>
    <w:rsid w:val="007728CD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4BF8"/>
    <w:rsid w:val="007A6FDC"/>
    <w:rsid w:val="007B1434"/>
    <w:rsid w:val="007B3EED"/>
    <w:rsid w:val="007B4320"/>
    <w:rsid w:val="007B6CB5"/>
    <w:rsid w:val="007C010B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4491"/>
    <w:rsid w:val="00867964"/>
    <w:rsid w:val="00871F11"/>
    <w:rsid w:val="00873396"/>
    <w:rsid w:val="00874037"/>
    <w:rsid w:val="00874434"/>
    <w:rsid w:val="00874E87"/>
    <w:rsid w:val="008775DC"/>
    <w:rsid w:val="00877E0E"/>
    <w:rsid w:val="00880359"/>
    <w:rsid w:val="00882D97"/>
    <w:rsid w:val="00883918"/>
    <w:rsid w:val="00884F11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C7CCC"/>
    <w:rsid w:val="008D00C6"/>
    <w:rsid w:val="008D0268"/>
    <w:rsid w:val="008D06A9"/>
    <w:rsid w:val="008D070A"/>
    <w:rsid w:val="008D0C53"/>
    <w:rsid w:val="008D28B9"/>
    <w:rsid w:val="008D362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524E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B4C"/>
    <w:rsid w:val="009B0F2D"/>
    <w:rsid w:val="009B1400"/>
    <w:rsid w:val="009B5056"/>
    <w:rsid w:val="009C099C"/>
    <w:rsid w:val="009C181E"/>
    <w:rsid w:val="009C2054"/>
    <w:rsid w:val="009C79E2"/>
    <w:rsid w:val="009D4B61"/>
    <w:rsid w:val="009D4EB8"/>
    <w:rsid w:val="009E0C7A"/>
    <w:rsid w:val="009E4B9E"/>
    <w:rsid w:val="009E73DE"/>
    <w:rsid w:val="009E7DC0"/>
    <w:rsid w:val="009E7E4A"/>
    <w:rsid w:val="009F0D22"/>
    <w:rsid w:val="009F2202"/>
    <w:rsid w:val="009F3CDA"/>
    <w:rsid w:val="009F5917"/>
    <w:rsid w:val="00A00356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584"/>
    <w:rsid w:val="00A14755"/>
    <w:rsid w:val="00A163BF"/>
    <w:rsid w:val="00A20E61"/>
    <w:rsid w:val="00A229CF"/>
    <w:rsid w:val="00A2447A"/>
    <w:rsid w:val="00A24E60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9DC"/>
    <w:rsid w:val="00A70CA6"/>
    <w:rsid w:val="00A72152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1DE8"/>
    <w:rsid w:val="00B1262E"/>
    <w:rsid w:val="00B15065"/>
    <w:rsid w:val="00B153A0"/>
    <w:rsid w:val="00B16DDB"/>
    <w:rsid w:val="00B20864"/>
    <w:rsid w:val="00B21738"/>
    <w:rsid w:val="00B22607"/>
    <w:rsid w:val="00B244DD"/>
    <w:rsid w:val="00B30A29"/>
    <w:rsid w:val="00B30C5B"/>
    <w:rsid w:val="00B400C7"/>
    <w:rsid w:val="00B41A2D"/>
    <w:rsid w:val="00B41C25"/>
    <w:rsid w:val="00B4482E"/>
    <w:rsid w:val="00B459CF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664AB"/>
    <w:rsid w:val="00B701ED"/>
    <w:rsid w:val="00B710EE"/>
    <w:rsid w:val="00B7374A"/>
    <w:rsid w:val="00B747DC"/>
    <w:rsid w:val="00B82D9E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4DD0"/>
    <w:rsid w:val="00BC6D6C"/>
    <w:rsid w:val="00BC71FB"/>
    <w:rsid w:val="00BC7428"/>
    <w:rsid w:val="00BD026D"/>
    <w:rsid w:val="00BD2505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E7C62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70C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E7420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274CC"/>
    <w:rsid w:val="00D3119D"/>
    <w:rsid w:val="00D31268"/>
    <w:rsid w:val="00D332DE"/>
    <w:rsid w:val="00D35483"/>
    <w:rsid w:val="00D36AB0"/>
    <w:rsid w:val="00D36BA6"/>
    <w:rsid w:val="00D376BF"/>
    <w:rsid w:val="00D37E58"/>
    <w:rsid w:val="00D4176A"/>
    <w:rsid w:val="00D45108"/>
    <w:rsid w:val="00D4675D"/>
    <w:rsid w:val="00D479D1"/>
    <w:rsid w:val="00D52918"/>
    <w:rsid w:val="00D5597C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574"/>
    <w:rsid w:val="00D936B8"/>
    <w:rsid w:val="00D93D9D"/>
    <w:rsid w:val="00D93F62"/>
    <w:rsid w:val="00D95273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4EB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3E5B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308"/>
    <w:rsid w:val="00E4361E"/>
    <w:rsid w:val="00E43E98"/>
    <w:rsid w:val="00E44F40"/>
    <w:rsid w:val="00E539AB"/>
    <w:rsid w:val="00E54762"/>
    <w:rsid w:val="00E55DD7"/>
    <w:rsid w:val="00E5625C"/>
    <w:rsid w:val="00E56AAD"/>
    <w:rsid w:val="00E57165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5C46"/>
    <w:rsid w:val="00E96C1D"/>
    <w:rsid w:val="00E96D11"/>
    <w:rsid w:val="00EA0678"/>
    <w:rsid w:val="00EA160C"/>
    <w:rsid w:val="00EA2CEB"/>
    <w:rsid w:val="00EA47EA"/>
    <w:rsid w:val="00EA51DA"/>
    <w:rsid w:val="00EA71DE"/>
    <w:rsid w:val="00EA7466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2AF"/>
    <w:rsid w:val="00F21D82"/>
    <w:rsid w:val="00F24CBA"/>
    <w:rsid w:val="00F25893"/>
    <w:rsid w:val="00F2763B"/>
    <w:rsid w:val="00F27C63"/>
    <w:rsid w:val="00F360E6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62B2"/>
    <w:rsid w:val="00FB14D0"/>
    <w:rsid w:val="00FB39C1"/>
    <w:rsid w:val="00FB6302"/>
    <w:rsid w:val="00FB7791"/>
    <w:rsid w:val="00FB7A06"/>
    <w:rsid w:val="00FB7C65"/>
    <w:rsid w:val="00FC1147"/>
    <w:rsid w:val="00FC140C"/>
    <w:rsid w:val="00FC196A"/>
    <w:rsid w:val="00FC19BC"/>
    <w:rsid w:val="00FC2661"/>
    <w:rsid w:val="00FC31B1"/>
    <w:rsid w:val="00FC64B5"/>
    <w:rsid w:val="00FD0BBB"/>
    <w:rsid w:val="00FD1A2F"/>
    <w:rsid w:val="00FD286C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5EF8E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itha.govindasamy@manitowo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D7CF42-5CFF-2B41-8C7B-91755972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Mariana Santos</cp:lastModifiedBy>
  <cp:revision>7</cp:revision>
  <cp:lastPrinted>2015-04-29T08:54:00Z</cp:lastPrinted>
  <dcterms:created xsi:type="dcterms:W3CDTF">2019-09-10T21:23:00Z</dcterms:created>
  <dcterms:modified xsi:type="dcterms:W3CDTF">2019-10-23T19:58:00Z</dcterms:modified>
</cp:coreProperties>
</file>