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54BC9" w14:textId="77777777" w:rsidR="003C6DEC" w:rsidRDefault="0045610E">
      <w:pPr>
        <w:tabs>
          <w:tab w:val="left" w:pos="6096"/>
        </w:tabs>
        <w:jc w:val="right"/>
        <w:rPr>
          <w:rFonts w:ascii="Verdana" w:eastAsia="Verdana" w:hAnsi="Verdana" w:cs="Verdana"/>
          <w:color w:val="ED1C2A"/>
          <w:sz w:val="30"/>
          <w:szCs w:val="30"/>
        </w:rPr>
      </w:pPr>
      <w:r>
        <w:rPr>
          <w:rFonts w:ascii="Verdana" w:eastAsia="Verdana" w:hAnsi="Verdana" w:cs="Verdana"/>
          <w:color w:val="ED1C2A"/>
          <w:sz w:val="30"/>
          <w:szCs w:val="30"/>
        </w:rPr>
        <w:t>NEWS RELEASE</w:t>
      </w:r>
      <w:r>
        <w:rPr>
          <w:noProof/>
        </w:rPr>
        <w:drawing>
          <wp:anchor distT="0" distB="0" distL="114300" distR="114300" simplePos="0" relativeHeight="251658240" behindDoc="0" locked="0" layoutInCell="1" hidden="0" allowOverlap="1" wp14:anchorId="26CC0078" wp14:editId="7B3AC8FE">
            <wp:simplePos x="0" y="0"/>
            <wp:positionH relativeFrom="column">
              <wp:posOffset>1</wp:posOffset>
            </wp:positionH>
            <wp:positionV relativeFrom="paragraph">
              <wp:posOffset>-634</wp:posOffset>
            </wp:positionV>
            <wp:extent cx="1485900" cy="34671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485900" cy="346710"/>
                    </a:xfrm>
                    <a:prstGeom prst="rect">
                      <a:avLst/>
                    </a:prstGeom>
                    <a:ln/>
                  </pic:spPr>
                </pic:pic>
              </a:graphicData>
            </a:graphic>
          </wp:anchor>
        </w:drawing>
      </w:r>
    </w:p>
    <w:p w14:paraId="49996903" w14:textId="2633B556" w:rsidR="003C6DEC" w:rsidRDefault="00BE096E">
      <w:pPr>
        <w:jc w:val="right"/>
        <w:rPr>
          <w:rFonts w:ascii="Verdana" w:eastAsia="Verdana" w:hAnsi="Verdana" w:cs="Verdana"/>
          <w:color w:val="41525C"/>
          <w:sz w:val="18"/>
          <w:szCs w:val="18"/>
        </w:rPr>
      </w:pPr>
      <w:r>
        <w:rPr>
          <w:rFonts w:ascii="Verdana" w:eastAsia="Verdana" w:hAnsi="Verdana" w:cs="Verdana"/>
          <w:color w:val="41525C"/>
          <w:sz w:val="18"/>
          <w:szCs w:val="18"/>
        </w:rPr>
        <w:t xml:space="preserve">16 </w:t>
      </w:r>
      <w:r w:rsidR="0045610E">
        <w:rPr>
          <w:rFonts w:ascii="Verdana" w:eastAsia="Verdana" w:hAnsi="Verdana" w:cs="Verdana"/>
          <w:color w:val="41525C"/>
          <w:sz w:val="18"/>
          <w:szCs w:val="18"/>
        </w:rPr>
        <w:t>July 2019</w:t>
      </w:r>
    </w:p>
    <w:p w14:paraId="1D5E6FD5" w14:textId="77777777" w:rsidR="003C6DEC" w:rsidRDefault="003C6DEC">
      <w:pPr>
        <w:spacing w:line="276" w:lineRule="auto"/>
        <w:rPr>
          <w:rFonts w:ascii="Verdana" w:eastAsia="Verdana" w:hAnsi="Verdana" w:cs="Verdana"/>
          <w:color w:val="ED1C2A"/>
          <w:sz w:val="30"/>
          <w:szCs w:val="30"/>
        </w:rPr>
      </w:pPr>
    </w:p>
    <w:p w14:paraId="4AF50CC1" w14:textId="77777777" w:rsidR="003C6DEC" w:rsidRDefault="003C6DEC">
      <w:pPr>
        <w:tabs>
          <w:tab w:val="left" w:pos="6096"/>
        </w:tabs>
        <w:spacing w:line="276" w:lineRule="auto"/>
        <w:rPr>
          <w:rFonts w:ascii="Verdana" w:eastAsia="Verdana" w:hAnsi="Verdana" w:cs="Verdana"/>
          <w:color w:val="ED1C2A"/>
          <w:sz w:val="30"/>
          <w:szCs w:val="30"/>
        </w:rPr>
      </w:pPr>
    </w:p>
    <w:p w14:paraId="35F721CE" w14:textId="77777777" w:rsidR="003C6DEC" w:rsidRDefault="0045610E">
      <w:pPr>
        <w:spacing w:line="276" w:lineRule="auto"/>
        <w:rPr>
          <w:rFonts w:ascii="Georgia" w:eastAsia="Georgia" w:hAnsi="Georgia" w:cs="Georgia"/>
          <w:b/>
          <w:sz w:val="28"/>
          <w:szCs w:val="28"/>
        </w:rPr>
      </w:pPr>
      <w:r>
        <w:rPr>
          <w:rFonts w:ascii="Georgia" w:eastAsia="Georgia" w:hAnsi="Georgia" w:cs="Georgia"/>
          <w:b/>
          <w:sz w:val="28"/>
          <w:szCs w:val="28"/>
        </w:rPr>
        <w:t>IDP supplies over 35 Potain cranes for major new development in Egypt</w:t>
      </w:r>
    </w:p>
    <w:p w14:paraId="64D89F92" w14:textId="77777777" w:rsidR="003C6DEC" w:rsidRDefault="003C6DEC">
      <w:pPr>
        <w:spacing w:line="276" w:lineRule="auto"/>
        <w:rPr>
          <w:rFonts w:ascii="Georgia" w:eastAsia="Georgia" w:hAnsi="Georgia" w:cs="Georgia"/>
          <w:b/>
          <w:sz w:val="28"/>
          <w:szCs w:val="28"/>
        </w:rPr>
      </w:pPr>
    </w:p>
    <w:p w14:paraId="656E85AB" w14:textId="03F1754C" w:rsidR="003C6DEC" w:rsidRDefault="0045610E">
      <w:pPr>
        <w:numPr>
          <w:ilvl w:val="0"/>
          <w:numId w:val="1"/>
        </w:numPr>
        <w:pBdr>
          <w:top w:val="nil"/>
          <w:left w:val="nil"/>
          <w:bottom w:val="nil"/>
          <w:right w:val="nil"/>
          <w:between w:val="nil"/>
        </w:pBdr>
        <w:rPr>
          <w:i/>
          <w:color w:val="000000"/>
          <w:sz w:val="21"/>
          <w:szCs w:val="21"/>
        </w:rPr>
      </w:pPr>
      <w:r>
        <w:rPr>
          <w:rFonts w:ascii="Georgia" w:eastAsia="Georgia" w:hAnsi="Georgia" w:cs="Georgia"/>
          <w:i/>
          <w:color w:val="000000"/>
          <w:sz w:val="21"/>
          <w:szCs w:val="21"/>
        </w:rPr>
        <w:t xml:space="preserve">A mix of Potain tower cranes are working across various elements of the </w:t>
      </w:r>
      <w:r w:rsidR="008A7EB2">
        <w:rPr>
          <w:rFonts w:ascii="Georgia" w:eastAsia="Georgia" w:hAnsi="Georgia" w:cs="Georgia"/>
          <w:i/>
          <w:color w:val="000000"/>
          <w:sz w:val="21"/>
          <w:szCs w:val="21"/>
        </w:rPr>
        <w:t xml:space="preserve">New </w:t>
      </w:r>
      <w:r>
        <w:rPr>
          <w:rFonts w:ascii="Georgia" w:eastAsia="Georgia" w:hAnsi="Georgia" w:cs="Georgia"/>
          <w:i/>
          <w:color w:val="000000"/>
          <w:sz w:val="21"/>
          <w:szCs w:val="21"/>
        </w:rPr>
        <w:t xml:space="preserve">El Alamein </w:t>
      </w:r>
      <w:r w:rsidR="00980A7F">
        <w:rPr>
          <w:rFonts w:ascii="Georgia" w:eastAsia="Georgia" w:hAnsi="Georgia" w:cs="Georgia"/>
          <w:i/>
          <w:color w:val="000000"/>
          <w:sz w:val="21"/>
          <w:szCs w:val="21"/>
        </w:rPr>
        <w:t>C</w:t>
      </w:r>
      <w:r>
        <w:rPr>
          <w:rFonts w:ascii="Georgia" w:eastAsia="Georgia" w:hAnsi="Georgia" w:cs="Georgia"/>
          <w:i/>
          <w:color w:val="000000"/>
          <w:sz w:val="21"/>
          <w:szCs w:val="21"/>
        </w:rPr>
        <w:t xml:space="preserve">ity </w:t>
      </w:r>
      <w:r w:rsidR="00B96553">
        <w:rPr>
          <w:rFonts w:ascii="Georgia" w:eastAsia="Georgia" w:hAnsi="Georgia" w:cs="Georgia"/>
          <w:i/>
          <w:color w:val="000000"/>
          <w:sz w:val="21"/>
          <w:szCs w:val="21"/>
        </w:rPr>
        <w:t xml:space="preserve">project </w:t>
      </w:r>
      <w:r>
        <w:rPr>
          <w:rFonts w:ascii="Georgia" w:eastAsia="Georgia" w:hAnsi="Georgia" w:cs="Georgia"/>
          <w:i/>
          <w:color w:val="000000"/>
          <w:sz w:val="21"/>
          <w:szCs w:val="21"/>
        </w:rPr>
        <w:t>taking shape in Egypt</w:t>
      </w:r>
    </w:p>
    <w:p w14:paraId="5C0AE4F5" w14:textId="5E0D7956" w:rsidR="003C6DEC" w:rsidRDefault="0045610E">
      <w:pPr>
        <w:numPr>
          <w:ilvl w:val="0"/>
          <w:numId w:val="1"/>
        </w:numPr>
        <w:pBdr>
          <w:top w:val="nil"/>
          <w:left w:val="nil"/>
          <w:bottom w:val="nil"/>
          <w:right w:val="nil"/>
          <w:between w:val="nil"/>
        </w:pBdr>
        <w:rPr>
          <w:i/>
          <w:color w:val="000000"/>
          <w:sz w:val="21"/>
          <w:szCs w:val="21"/>
        </w:rPr>
      </w:pPr>
      <w:r>
        <w:rPr>
          <w:rFonts w:ascii="Georgia" w:eastAsia="Georgia" w:hAnsi="Georgia" w:cs="Georgia"/>
          <w:i/>
          <w:color w:val="000000"/>
          <w:sz w:val="21"/>
          <w:szCs w:val="21"/>
        </w:rPr>
        <w:t xml:space="preserve">The new </w:t>
      </w:r>
      <w:r w:rsidR="00B96553">
        <w:rPr>
          <w:rFonts w:ascii="Georgia" w:eastAsia="Georgia" w:hAnsi="Georgia" w:cs="Georgia"/>
          <w:i/>
          <w:color w:val="000000"/>
          <w:sz w:val="21"/>
          <w:szCs w:val="21"/>
        </w:rPr>
        <w:t>purpose-built city</w:t>
      </w:r>
      <w:r>
        <w:rPr>
          <w:rFonts w:ascii="Georgia" w:eastAsia="Georgia" w:hAnsi="Georgia" w:cs="Georgia"/>
          <w:i/>
          <w:color w:val="000000"/>
          <w:sz w:val="21"/>
          <w:szCs w:val="21"/>
        </w:rPr>
        <w:t xml:space="preserve"> will stretch over an area of 21,000 hectares and can accommodate a population of 3 million</w:t>
      </w:r>
    </w:p>
    <w:p w14:paraId="28FE842A" w14:textId="77777777" w:rsidR="003C6DEC" w:rsidRDefault="003C6DEC">
      <w:pPr>
        <w:spacing w:line="276" w:lineRule="auto"/>
        <w:rPr>
          <w:rFonts w:ascii="Georgia" w:eastAsia="Georgia" w:hAnsi="Georgia" w:cs="Georgia"/>
          <w:sz w:val="21"/>
          <w:szCs w:val="21"/>
        </w:rPr>
      </w:pPr>
    </w:p>
    <w:p w14:paraId="47210E15" w14:textId="42F6C8F8" w:rsidR="003C6DEC" w:rsidRDefault="0045610E">
      <w:pPr>
        <w:rPr>
          <w:rFonts w:ascii="Georgia" w:eastAsia="Georgia" w:hAnsi="Georgia" w:cs="Georgia"/>
          <w:sz w:val="21"/>
          <w:szCs w:val="21"/>
        </w:rPr>
      </w:pPr>
      <w:bookmarkStart w:id="0" w:name="_gjdgxs" w:colFirst="0" w:colLast="0"/>
      <w:bookmarkEnd w:id="0"/>
      <w:r>
        <w:rPr>
          <w:rFonts w:ascii="Georgia" w:eastAsia="Georgia" w:hAnsi="Georgia" w:cs="Georgia"/>
          <w:sz w:val="21"/>
          <w:szCs w:val="21"/>
        </w:rPr>
        <w:t>Over 35 Potain tower cranes are working on the construction of the New El Alamein City, a</w:t>
      </w:r>
      <w:r w:rsidR="008A7EB2">
        <w:rPr>
          <w:rFonts w:ascii="Georgia" w:eastAsia="Georgia" w:hAnsi="Georgia" w:cs="Georgia"/>
          <w:sz w:val="21"/>
          <w:szCs w:val="21"/>
        </w:rPr>
        <w:t>n</w:t>
      </w:r>
      <w:r>
        <w:rPr>
          <w:rFonts w:ascii="Georgia" w:eastAsia="Georgia" w:hAnsi="Georgia" w:cs="Georgia"/>
          <w:sz w:val="21"/>
          <w:szCs w:val="21"/>
        </w:rPr>
        <w:t xml:space="preserve"> urban development being built on Egypt’s northern coast. The cranes were sold by International Development Programmes (IDP), Potain’s dealer for Egypt. The high-profile project will offer year-round living and accommodate a population of over 3 million across an area of 21,000 hectares. The new city will house hotels, universities, sports clubs, entertainment outlets, residential units, business centers and even a scientific research center.</w:t>
      </w:r>
    </w:p>
    <w:p w14:paraId="5A2618C3" w14:textId="77777777" w:rsidR="003C6DEC" w:rsidRDefault="003C6DEC">
      <w:pPr>
        <w:widowControl w:val="0"/>
        <w:spacing w:line="276" w:lineRule="auto"/>
        <w:rPr>
          <w:rFonts w:ascii="Georgia" w:eastAsia="Georgia" w:hAnsi="Georgia" w:cs="Georgia"/>
          <w:sz w:val="21"/>
          <w:szCs w:val="21"/>
        </w:rPr>
      </w:pPr>
    </w:p>
    <w:p w14:paraId="0290E894" w14:textId="43FF77F2" w:rsidR="003C6DEC" w:rsidRDefault="0045610E" w:rsidP="008A7EB2">
      <w:pPr>
        <w:widowControl w:val="0"/>
        <w:rPr>
          <w:rFonts w:ascii="Georgia" w:eastAsia="Georgia" w:hAnsi="Georgia" w:cs="Georgia"/>
          <w:sz w:val="21"/>
          <w:szCs w:val="21"/>
        </w:rPr>
      </w:pPr>
      <w:r>
        <w:rPr>
          <w:rFonts w:ascii="Georgia" w:eastAsia="Georgia" w:hAnsi="Georgia" w:cs="Georgia"/>
          <w:sz w:val="21"/>
          <w:szCs w:val="21"/>
        </w:rPr>
        <w:t xml:space="preserve">The fleet of Potain cranes onsite includes MCT 85, MCT 205, MC 235 C and MC 310 K12 models. All are built at the Potain factory in Zhangjiagang, China and selected for their reliability and performance. Two of the preferred choices for the site are the MCT 85 and MCT 205, both topless models. The MCT 85 is </w:t>
      </w:r>
      <w:r w:rsidR="00B96553">
        <w:rPr>
          <w:rFonts w:ascii="Georgia" w:eastAsia="Georgia" w:hAnsi="Georgia" w:cs="Georgia"/>
          <w:sz w:val="21"/>
          <w:szCs w:val="21"/>
        </w:rPr>
        <w:t>the</w:t>
      </w:r>
      <w:r>
        <w:rPr>
          <w:rFonts w:ascii="Georgia" w:eastAsia="Georgia" w:hAnsi="Georgia" w:cs="Georgia"/>
          <w:sz w:val="21"/>
          <w:szCs w:val="21"/>
        </w:rPr>
        <w:t xml:space="preserve"> successor </w:t>
      </w:r>
      <w:r>
        <w:rPr>
          <w:rFonts w:ascii="Georgia" w:eastAsia="Georgia" w:hAnsi="Georgia" w:cs="Georgia"/>
          <w:color w:val="000000"/>
          <w:sz w:val="21"/>
          <w:szCs w:val="21"/>
        </w:rPr>
        <w:t>to the hugely popular MCi 85 A. It offers a maximum jib length of 52 m and a tip load of 1.1 t. Its maximum capacity is 5 t</w:t>
      </w:r>
      <w:r>
        <w:rPr>
          <w:rFonts w:ascii="Georgia" w:eastAsia="Georgia" w:hAnsi="Georgia" w:cs="Georgia"/>
          <w:sz w:val="21"/>
          <w:szCs w:val="21"/>
        </w:rPr>
        <w:t>. The MCT 205 is a topless crane with a maximum capacity of 10 t. It can lift 1.75 t at its maximum jib end of 65 m.</w:t>
      </w:r>
    </w:p>
    <w:p w14:paraId="0C373349" w14:textId="77777777" w:rsidR="003C6DEC" w:rsidRDefault="003C6DEC" w:rsidP="008A7EB2">
      <w:pPr>
        <w:widowControl w:val="0"/>
        <w:rPr>
          <w:rFonts w:ascii="Georgia" w:eastAsia="Georgia" w:hAnsi="Georgia" w:cs="Georgia"/>
          <w:sz w:val="21"/>
          <w:szCs w:val="21"/>
        </w:rPr>
      </w:pPr>
    </w:p>
    <w:p w14:paraId="3CB72FDE" w14:textId="77777777" w:rsidR="003C6DEC" w:rsidRDefault="0045610E" w:rsidP="008A7EB2">
      <w:pPr>
        <w:widowControl w:val="0"/>
        <w:rPr>
          <w:rFonts w:ascii="Georgia" w:eastAsia="Georgia" w:hAnsi="Georgia" w:cs="Georgia"/>
          <w:sz w:val="21"/>
          <w:szCs w:val="21"/>
        </w:rPr>
      </w:pPr>
      <w:r>
        <w:rPr>
          <w:rFonts w:ascii="Georgia" w:eastAsia="Georgia" w:hAnsi="Georgia" w:cs="Georgia"/>
          <w:sz w:val="21"/>
          <w:szCs w:val="21"/>
        </w:rPr>
        <w:t xml:space="preserve">The cranes began arriving on site in 2018, and are configured at working heights of between 40 m and 180 m, with jib lengths ranging from 50 m to 70 m. The cranes work around the clock rotating between three shifts daily, lifting loads from 5 t to 12 t and are expected to be on site for at least five years. </w:t>
      </w:r>
    </w:p>
    <w:p w14:paraId="5AB438E5" w14:textId="77777777" w:rsidR="003C6DEC" w:rsidRDefault="003C6DEC" w:rsidP="008A7EB2">
      <w:pPr>
        <w:widowControl w:val="0"/>
        <w:rPr>
          <w:rFonts w:ascii="Georgia" w:eastAsia="Georgia" w:hAnsi="Georgia" w:cs="Georgia"/>
          <w:sz w:val="21"/>
          <w:szCs w:val="21"/>
        </w:rPr>
      </w:pPr>
    </w:p>
    <w:p w14:paraId="4EF79144" w14:textId="77777777" w:rsidR="003C6DEC" w:rsidRDefault="0045610E" w:rsidP="008A7EB2">
      <w:pPr>
        <w:widowControl w:val="0"/>
        <w:rPr>
          <w:rFonts w:ascii="Georgia" w:eastAsia="Georgia" w:hAnsi="Georgia" w:cs="Georgia"/>
          <w:sz w:val="21"/>
          <w:szCs w:val="21"/>
        </w:rPr>
      </w:pPr>
      <w:r>
        <w:rPr>
          <w:rFonts w:ascii="Georgia" w:eastAsia="Georgia" w:hAnsi="Georgia" w:cs="Georgia"/>
          <w:sz w:val="21"/>
          <w:szCs w:val="21"/>
        </w:rPr>
        <w:t>Noreen Soliman, marketing and communications manager at IDP, said:</w:t>
      </w:r>
    </w:p>
    <w:p w14:paraId="0A8CC302" w14:textId="77777777" w:rsidR="003C6DEC" w:rsidRDefault="003C6DEC" w:rsidP="008A7EB2">
      <w:pPr>
        <w:widowControl w:val="0"/>
        <w:rPr>
          <w:rFonts w:ascii="Georgia" w:eastAsia="Georgia" w:hAnsi="Georgia" w:cs="Georgia"/>
          <w:sz w:val="21"/>
          <w:szCs w:val="21"/>
        </w:rPr>
      </w:pPr>
    </w:p>
    <w:p w14:paraId="5521ED61" w14:textId="455B4F3F" w:rsidR="003C6DEC" w:rsidRDefault="0045610E" w:rsidP="008A7EB2">
      <w:pPr>
        <w:widowControl w:val="0"/>
        <w:rPr>
          <w:rFonts w:ascii="Georgia" w:eastAsia="Georgia" w:hAnsi="Georgia" w:cs="Georgia"/>
          <w:sz w:val="21"/>
          <w:szCs w:val="21"/>
        </w:rPr>
      </w:pPr>
      <w:r>
        <w:rPr>
          <w:rFonts w:ascii="Georgia" w:eastAsia="Georgia" w:hAnsi="Georgia" w:cs="Georgia"/>
          <w:sz w:val="21"/>
          <w:szCs w:val="21"/>
        </w:rPr>
        <w:t>“Using Potain cranes gives the contractors the confidence they need to complete a project of this scale.</w:t>
      </w:r>
      <w:r w:rsidR="00BE096E">
        <w:rPr>
          <w:rFonts w:ascii="Georgia" w:eastAsia="Georgia" w:hAnsi="Georgia" w:cs="Georgia"/>
          <w:sz w:val="21"/>
          <w:szCs w:val="21"/>
        </w:rPr>
        <w:t xml:space="preserve"> </w:t>
      </w:r>
      <w:r>
        <w:rPr>
          <w:rFonts w:ascii="Georgia" w:eastAsia="Georgia" w:hAnsi="Georgia" w:cs="Georgia"/>
          <w:sz w:val="21"/>
          <w:szCs w:val="21"/>
        </w:rPr>
        <w:t>To date</w:t>
      </w:r>
      <w:r w:rsidR="00DE4747">
        <w:rPr>
          <w:rFonts w:ascii="Georgia" w:eastAsia="Georgia" w:hAnsi="Georgia" w:cs="Georgia"/>
          <w:sz w:val="21"/>
          <w:szCs w:val="21"/>
        </w:rPr>
        <w:t>,</w:t>
      </w:r>
      <w:r>
        <w:rPr>
          <w:rFonts w:ascii="Georgia" w:eastAsia="Georgia" w:hAnsi="Georgia" w:cs="Georgia"/>
          <w:sz w:val="21"/>
          <w:szCs w:val="21"/>
        </w:rPr>
        <w:t xml:space="preserve"> the feedback on their performance has all been positive. Potain is a trusted brand in Egypt, with the range, reputation and performance to keep a high-profile project like this on track. We also pride ourselves on the parts and service support that we provide to our customers and that means there’s one less thing to worry about on the job site.” </w:t>
      </w:r>
    </w:p>
    <w:p w14:paraId="119C9149" w14:textId="77777777" w:rsidR="003C6DEC" w:rsidRDefault="003C6DEC" w:rsidP="008A7EB2">
      <w:pPr>
        <w:widowControl w:val="0"/>
        <w:rPr>
          <w:rFonts w:ascii="Georgia" w:eastAsia="Georgia" w:hAnsi="Georgia" w:cs="Georgia"/>
          <w:sz w:val="21"/>
          <w:szCs w:val="21"/>
        </w:rPr>
      </w:pPr>
    </w:p>
    <w:p w14:paraId="3E7E5857" w14:textId="7E782204" w:rsidR="003C6DEC" w:rsidRDefault="0045610E" w:rsidP="008A7EB2">
      <w:pPr>
        <w:widowControl w:val="0"/>
        <w:rPr>
          <w:rFonts w:ascii="Georgia" w:eastAsia="Georgia" w:hAnsi="Georgia" w:cs="Georgia"/>
          <w:sz w:val="21"/>
          <w:szCs w:val="21"/>
        </w:rPr>
      </w:pPr>
      <w:r>
        <w:rPr>
          <w:rFonts w:ascii="Georgia" w:eastAsia="Georgia" w:hAnsi="Georgia" w:cs="Georgia"/>
          <w:sz w:val="21"/>
          <w:szCs w:val="21"/>
        </w:rPr>
        <w:t xml:space="preserve">Contractors on site include Redcon and Red Sea Construction, SIAC Construction, The Arab Contractors, CRC Dorra, Orascom Construction and a joint venture between Hassan Allam Construction and </w:t>
      </w:r>
      <w:r>
        <w:rPr>
          <w:rFonts w:ascii="Georgia" w:eastAsia="Georgia" w:hAnsi="Georgia" w:cs="Georgia"/>
          <w:sz w:val="21"/>
          <w:szCs w:val="21"/>
          <w:highlight w:val="white"/>
        </w:rPr>
        <w:t xml:space="preserve">Consolidated Contractors Company. </w:t>
      </w:r>
      <w:r>
        <w:rPr>
          <w:rFonts w:ascii="Georgia" w:eastAsia="Georgia" w:hAnsi="Georgia" w:cs="Georgia"/>
          <w:sz w:val="21"/>
          <w:szCs w:val="21"/>
        </w:rPr>
        <w:t xml:space="preserve">The New El Alamein </w:t>
      </w:r>
      <w:r w:rsidR="00B04C5D">
        <w:rPr>
          <w:rFonts w:ascii="Georgia" w:eastAsia="Georgia" w:hAnsi="Georgia" w:cs="Georgia"/>
          <w:sz w:val="21"/>
          <w:szCs w:val="21"/>
        </w:rPr>
        <w:t>C</w:t>
      </w:r>
      <w:bookmarkStart w:id="1" w:name="_GoBack"/>
      <w:bookmarkEnd w:id="1"/>
      <w:r>
        <w:rPr>
          <w:rFonts w:ascii="Georgia" w:eastAsia="Georgia" w:hAnsi="Georgia" w:cs="Georgia"/>
          <w:sz w:val="21"/>
          <w:szCs w:val="21"/>
        </w:rPr>
        <w:t xml:space="preserve">ity is the first in a new </w:t>
      </w:r>
      <w:r>
        <w:rPr>
          <w:rFonts w:ascii="Georgia" w:eastAsia="Georgia" w:hAnsi="Georgia" w:cs="Georgia"/>
          <w:sz w:val="21"/>
          <w:szCs w:val="21"/>
        </w:rPr>
        <w:lastRenderedPageBreak/>
        <w:t>generation of millennium cities in Egypt.</w:t>
      </w:r>
    </w:p>
    <w:p w14:paraId="100FCBA3" w14:textId="77777777" w:rsidR="003C6DEC" w:rsidRDefault="003C6DEC" w:rsidP="008A7EB2">
      <w:pPr>
        <w:widowControl w:val="0"/>
        <w:rPr>
          <w:rFonts w:ascii="Georgia" w:eastAsia="Georgia" w:hAnsi="Georgia" w:cs="Georgia"/>
          <w:sz w:val="21"/>
          <w:szCs w:val="21"/>
        </w:rPr>
      </w:pPr>
    </w:p>
    <w:p w14:paraId="4903F160" w14:textId="77777777" w:rsidR="003C6DEC" w:rsidRDefault="0045610E" w:rsidP="008A7EB2">
      <w:pPr>
        <w:widowControl w:val="0"/>
        <w:rPr>
          <w:rFonts w:ascii="Georgia" w:eastAsia="Georgia" w:hAnsi="Georgia" w:cs="Georgia"/>
          <w:sz w:val="21"/>
          <w:szCs w:val="21"/>
        </w:rPr>
      </w:pPr>
      <w:r>
        <w:rPr>
          <w:rFonts w:ascii="Georgia" w:eastAsia="Georgia" w:hAnsi="Georgia" w:cs="Georgia"/>
          <w:sz w:val="21"/>
          <w:szCs w:val="21"/>
        </w:rPr>
        <w:t xml:space="preserve">IDP has been a reliable supplier of Potain cranes to projects in Egypt for the past 44 years. Established in 1974, it is one of Egypt’s leading companies in the supply and service of heavy construction and industrial equipment. </w:t>
      </w:r>
    </w:p>
    <w:p w14:paraId="374FBC74" w14:textId="77777777" w:rsidR="003C6DEC" w:rsidRDefault="003C6DEC">
      <w:pPr>
        <w:widowControl w:val="0"/>
        <w:spacing w:line="276" w:lineRule="auto"/>
        <w:rPr>
          <w:rFonts w:ascii="Georgia" w:eastAsia="Georgia" w:hAnsi="Georgia" w:cs="Georgia"/>
          <w:sz w:val="21"/>
          <w:szCs w:val="21"/>
        </w:rPr>
      </w:pPr>
    </w:p>
    <w:p w14:paraId="08FD7A0C" w14:textId="77777777" w:rsidR="003C6DEC" w:rsidRDefault="0045610E">
      <w:pPr>
        <w:tabs>
          <w:tab w:val="left" w:pos="1055"/>
          <w:tab w:val="left" w:pos="4111"/>
          <w:tab w:val="left" w:pos="5812"/>
          <w:tab w:val="left" w:pos="7371"/>
        </w:tabs>
        <w:spacing w:line="276" w:lineRule="auto"/>
        <w:jc w:val="center"/>
        <w:rPr>
          <w:rFonts w:ascii="Georgia" w:eastAsia="Georgia" w:hAnsi="Georgia" w:cs="Georgia"/>
          <w:sz w:val="21"/>
          <w:szCs w:val="21"/>
        </w:rPr>
      </w:pPr>
      <w:r>
        <w:rPr>
          <w:rFonts w:ascii="Georgia" w:eastAsia="Georgia" w:hAnsi="Georgia" w:cs="Georgia"/>
          <w:sz w:val="21"/>
          <w:szCs w:val="21"/>
        </w:rPr>
        <w:t>-END-</w:t>
      </w:r>
    </w:p>
    <w:p w14:paraId="7F3FD1E8" w14:textId="77777777" w:rsidR="003C6DEC" w:rsidRDefault="003C6DEC">
      <w:pPr>
        <w:tabs>
          <w:tab w:val="left" w:pos="1055"/>
          <w:tab w:val="left" w:pos="4111"/>
          <w:tab w:val="left" w:pos="5812"/>
          <w:tab w:val="left" w:pos="7371"/>
        </w:tabs>
        <w:spacing w:line="276" w:lineRule="auto"/>
        <w:jc w:val="center"/>
        <w:rPr>
          <w:rFonts w:ascii="Georgia" w:eastAsia="Georgia" w:hAnsi="Georgia" w:cs="Georgia"/>
          <w:sz w:val="21"/>
          <w:szCs w:val="21"/>
        </w:rPr>
      </w:pPr>
    </w:p>
    <w:p w14:paraId="4E64B049" w14:textId="77777777" w:rsidR="003C6DEC" w:rsidRDefault="0045610E">
      <w:pPr>
        <w:spacing w:line="276" w:lineRule="auto"/>
        <w:rPr>
          <w:rFonts w:ascii="Verdana" w:eastAsia="Verdana" w:hAnsi="Verdana" w:cs="Verdana"/>
          <w:b/>
          <w:color w:val="41525C"/>
          <w:sz w:val="18"/>
          <w:szCs w:val="18"/>
        </w:rPr>
      </w:pPr>
      <w:r>
        <w:rPr>
          <w:rFonts w:ascii="Verdana" w:eastAsia="Verdana" w:hAnsi="Verdana" w:cs="Verdana"/>
          <w:color w:val="ED1C2A"/>
          <w:sz w:val="18"/>
          <w:szCs w:val="18"/>
        </w:rPr>
        <w:t>CONTACT</w:t>
      </w:r>
    </w:p>
    <w:p w14:paraId="07CBB5DE" w14:textId="77777777" w:rsidR="003C6DEC" w:rsidRDefault="0045610E">
      <w:pPr>
        <w:tabs>
          <w:tab w:val="left" w:pos="3969"/>
        </w:tabs>
        <w:spacing w:line="276" w:lineRule="auto"/>
        <w:rPr>
          <w:rFonts w:ascii="Verdana" w:eastAsia="Verdana" w:hAnsi="Verdana" w:cs="Verdana"/>
          <w:b/>
          <w:color w:val="41525C"/>
          <w:sz w:val="18"/>
          <w:szCs w:val="18"/>
        </w:rPr>
      </w:pPr>
      <w:r>
        <w:rPr>
          <w:rFonts w:ascii="Verdana" w:eastAsia="Verdana" w:hAnsi="Verdana" w:cs="Verdana"/>
          <w:b/>
          <w:color w:val="41525C"/>
          <w:sz w:val="18"/>
          <w:szCs w:val="18"/>
        </w:rPr>
        <w:t>Punitha Govindasamy</w:t>
      </w:r>
      <w:r>
        <w:rPr>
          <w:rFonts w:ascii="Verdana" w:eastAsia="Verdana" w:hAnsi="Verdana" w:cs="Verdana"/>
          <w:sz w:val="18"/>
          <w:szCs w:val="18"/>
        </w:rPr>
        <w:tab/>
      </w:r>
    </w:p>
    <w:p w14:paraId="2D0CB4DB" w14:textId="77777777" w:rsidR="003C6DEC" w:rsidRDefault="0045610E">
      <w:pPr>
        <w:tabs>
          <w:tab w:val="left" w:pos="3969"/>
        </w:tabs>
        <w:spacing w:line="276" w:lineRule="auto"/>
        <w:rPr>
          <w:rFonts w:ascii="Verdana" w:eastAsia="Verdana" w:hAnsi="Verdana" w:cs="Verdana"/>
          <w:color w:val="41525C"/>
          <w:sz w:val="18"/>
          <w:szCs w:val="18"/>
        </w:rPr>
      </w:pPr>
      <w:r>
        <w:rPr>
          <w:rFonts w:ascii="Verdana" w:eastAsia="Verdana" w:hAnsi="Verdana" w:cs="Verdana"/>
          <w:color w:val="41525C"/>
          <w:sz w:val="18"/>
          <w:szCs w:val="18"/>
        </w:rPr>
        <w:t>Manitowoc</w:t>
      </w:r>
      <w:r>
        <w:rPr>
          <w:rFonts w:ascii="Verdana" w:eastAsia="Verdana" w:hAnsi="Verdana" w:cs="Verdana"/>
          <w:sz w:val="18"/>
          <w:szCs w:val="18"/>
        </w:rPr>
        <w:tab/>
      </w:r>
    </w:p>
    <w:p w14:paraId="5B82F9AB" w14:textId="77777777" w:rsidR="003C6DEC" w:rsidRDefault="0045610E">
      <w:pPr>
        <w:tabs>
          <w:tab w:val="left" w:pos="3969"/>
        </w:tabs>
        <w:spacing w:line="276" w:lineRule="auto"/>
        <w:rPr>
          <w:rFonts w:ascii="Verdana" w:eastAsia="Verdana" w:hAnsi="Verdana" w:cs="Verdana"/>
          <w:color w:val="41525C"/>
          <w:sz w:val="18"/>
          <w:szCs w:val="18"/>
        </w:rPr>
      </w:pPr>
      <w:r>
        <w:rPr>
          <w:rFonts w:ascii="Verdana" w:eastAsia="Verdana" w:hAnsi="Verdana" w:cs="Verdana"/>
          <w:color w:val="41525C"/>
          <w:sz w:val="18"/>
          <w:szCs w:val="18"/>
        </w:rPr>
        <w:t>T +65 6263 7863</w:t>
      </w:r>
      <w:r>
        <w:rPr>
          <w:rFonts w:ascii="Verdana" w:eastAsia="Verdana" w:hAnsi="Verdana" w:cs="Verdana"/>
          <w:color w:val="41525C"/>
          <w:sz w:val="18"/>
          <w:szCs w:val="18"/>
        </w:rPr>
        <w:tab/>
      </w:r>
    </w:p>
    <w:p w14:paraId="4AB0F33B" w14:textId="77777777" w:rsidR="003C6DEC" w:rsidRDefault="009825A5">
      <w:pPr>
        <w:tabs>
          <w:tab w:val="left" w:pos="1055"/>
          <w:tab w:val="left" w:pos="3969"/>
          <w:tab w:val="left" w:pos="6379"/>
          <w:tab w:val="left" w:pos="7371"/>
        </w:tabs>
        <w:spacing w:line="276" w:lineRule="auto"/>
        <w:rPr>
          <w:rFonts w:ascii="Verdana" w:eastAsia="Verdana" w:hAnsi="Verdana" w:cs="Verdana"/>
          <w:b/>
          <w:color w:val="41525C"/>
          <w:sz w:val="18"/>
          <w:szCs w:val="18"/>
        </w:rPr>
      </w:pPr>
      <w:hyperlink r:id="rId8">
        <w:r w:rsidR="0045610E">
          <w:rPr>
            <w:rFonts w:ascii="Verdana" w:eastAsia="Verdana" w:hAnsi="Verdana" w:cs="Verdana"/>
            <w:color w:val="41525C"/>
            <w:sz w:val="18"/>
            <w:szCs w:val="18"/>
            <w:u w:val="single"/>
          </w:rPr>
          <w:t>punitha.govindasamy@manitowoc.com</w:t>
        </w:r>
      </w:hyperlink>
    </w:p>
    <w:p w14:paraId="016FFDAC" w14:textId="77777777" w:rsidR="003C6DEC" w:rsidRDefault="003C6DEC">
      <w:pPr>
        <w:spacing w:line="276" w:lineRule="auto"/>
        <w:rPr>
          <w:rFonts w:ascii="Georgia" w:eastAsia="Georgia" w:hAnsi="Georgia" w:cs="Georgia"/>
          <w:sz w:val="19"/>
          <w:szCs w:val="19"/>
        </w:rPr>
      </w:pPr>
    </w:p>
    <w:p w14:paraId="40635DCA" w14:textId="77777777" w:rsidR="003C6DEC" w:rsidRDefault="0045610E">
      <w:pPr>
        <w:widowControl w:val="0"/>
        <w:rPr>
          <w:rFonts w:ascii="Verdana" w:eastAsia="Verdana" w:hAnsi="Verdana" w:cs="Verdana"/>
          <w:color w:val="FF0000"/>
          <w:sz w:val="18"/>
          <w:szCs w:val="18"/>
        </w:rPr>
      </w:pPr>
      <w:r>
        <w:rPr>
          <w:rFonts w:ascii="Verdana" w:eastAsia="Verdana" w:hAnsi="Verdana" w:cs="Verdana"/>
          <w:color w:val="FF0000"/>
          <w:sz w:val="18"/>
          <w:szCs w:val="18"/>
        </w:rPr>
        <w:t>ABOUT THE MANITOWOC COMPANY, INC.</w:t>
      </w:r>
    </w:p>
    <w:p w14:paraId="3F11F1F7" w14:textId="77777777" w:rsidR="003C6DEC" w:rsidRDefault="0045610E">
      <w:pPr>
        <w:rPr>
          <w:rFonts w:ascii="Verdana" w:eastAsia="Verdana" w:hAnsi="Verdana" w:cs="Verdana"/>
          <w:sz w:val="18"/>
          <w:szCs w:val="18"/>
        </w:rPr>
      </w:pPr>
      <w:r>
        <w:rPr>
          <w:rFonts w:ascii="Verdana" w:eastAsia="Verdana" w:hAnsi="Verdana" w:cs="Verdana"/>
          <w:sz w:val="18"/>
          <w:szCs w:val="18"/>
        </w:rPr>
        <w:t>The Manitowoc Company, Inc. (“Manitowoc”) was founded in 1902 and has over a 116-year tradition of providing high-quality, customer-focused products and support services to its markets and its 2018 net sales were approximately $1.8 billion. Manitowoc is one of the world's leading providers of engineered lifting solutions. Manitowoc, through its wholly-owned subsidiaries, designs, manufactures, markets, and supports comprehensive product lines of mobile telescopic cranes, tower cranes, lattice-boom crawler cranes, and boom trucks under the Grove, Manitowoc, National Crane, Potain, Shuttlelift and Manitowoc Crane Care brand names.</w:t>
      </w:r>
    </w:p>
    <w:p w14:paraId="2E7C5F08" w14:textId="77777777" w:rsidR="003C6DEC" w:rsidRDefault="003C6DEC">
      <w:pPr>
        <w:spacing w:line="276" w:lineRule="auto"/>
        <w:rPr>
          <w:rFonts w:ascii="Verdana" w:eastAsia="Verdana" w:hAnsi="Verdana" w:cs="Verdana"/>
          <w:color w:val="41525C"/>
          <w:sz w:val="18"/>
          <w:szCs w:val="18"/>
        </w:rPr>
      </w:pPr>
    </w:p>
    <w:p w14:paraId="745688A0" w14:textId="77777777" w:rsidR="003C6DEC" w:rsidRDefault="0045610E">
      <w:pPr>
        <w:spacing w:line="276" w:lineRule="auto"/>
        <w:rPr>
          <w:rFonts w:ascii="Verdana" w:eastAsia="Verdana" w:hAnsi="Verdana" w:cs="Verdana"/>
          <w:sz w:val="18"/>
          <w:szCs w:val="18"/>
        </w:rPr>
      </w:pPr>
      <w:r>
        <w:rPr>
          <w:rFonts w:ascii="Verdana" w:eastAsia="Verdana" w:hAnsi="Verdana" w:cs="Verdana"/>
          <w:color w:val="ED1C2A"/>
          <w:sz w:val="18"/>
          <w:szCs w:val="18"/>
        </w:rPr>
        <w:t>THE MANITOWOC COMPANY, INC.</w:t>
      </w:r>
    </w:p>
    <w:p w14:paraId="36C45058" w14:textId="77777777" w:rsidR="003C6DEC" w:rsidRDefault="0045610E">
      <w:pPr>
        <w:spacing w:line="276" w:lineRule="auto"/>
        <w:rPr>
          <w:rFonts w:ascii="Verdana" w:eastAsia="Verdana" w:hAnsi="Verdana" w:cs="Verdana"/>
          <w:sz w:val="18"/>
          <w:szCs w:val="18"/>
        </w:rPr>
      </w:pPr>
      <w:r>
        <w:rPr>
          <w:rFonts w:ascii="Verdana" w:eastAsia="Verdana" w:hAnsi="Verdana" w:cs="Verdana"/>
          <w:color w:val="41525C"/>
          <w:sz w:val="18"/>
          <w:szCs w:val="18"/>
        </w:rPr>
        <w:t>One Park Plaza – 11270 West Park Place</w:t>
      </w:r>
      <w:r>
        <w:rPr>
          <w:rFonts w:ascii="Verdana" w:eastAsia="Verdana" w:hAnsi="Verdana" w:cs="Verdana"/>
          <w:sz w:val="18"/>
          <w:szCs w:val="18"/>
        </w:rPr>
        <w:t xml:space="preserve"> – Suite 1000 – </w:t>
      </w:r>
      <w:r>
        <w:rPr>
          <w:rFonts w:ascii="Verdana" w:eastAsia="Verdana" w:hAnsi="Verdana" w:cs="Verdana"/>
          <w:color w:val="41525C"/>
          <w:sz w:val="18"/>
          <w:szCs w:val="18"/>
        </w:rPr>
        <w:t>Milwaukee, WI 53224, USA</w:t>
      </w:r>
    </w:p>
    <w:p w14:paraId="244B214D" w14:textId="77777777" w:rsidR="003C6DEC" w:rsidRDefault="0045610E">
      <w:pPr>
        <w:spacing w:line="276" w:lineRule="auto"/>
        <w:rPr>
          <w:rFonts w:ascii="Verdana" w:eastAsia="Verdana" w:hAnsi="Verdana" w:cs="Verdana"/>
          <w:sz w:val="18"/>
          <w:szCs w:val="18"/>
        </w:rPr>
      </w:pPr>
      <w:r>
        <w:rPr>
          <w:rFonts w:ascii="Verdana" w:eastAsia="Verdana" w:hAnsi="Verdana" w:cs="Verdana"/>
          <w:color w:val="41525C"/>
          <w:sz w:val="18"/>
          <w:szCs w:val="18"/>
        </w:rPr>
        <w:t>T +1 414 760 4600</w:t>
      </w:r>
    </w:p>
    <w:p w14:paraId="71495EF0" w14:textId="77777777" w:rsidR="003C6DEC" w:rsidRDefault="009825A5">
      <w:pPr>
        <w:spacing w:line="276" w:lineRule="auto"/>
        <w:rPr>
          <w:rFonts w:ascii="Verdana" w:eastAsia="Verdana" w:hAnsi="Verdana" w:cs="Verdana"/>
          <w:b/>
          <w:color w:val="41525C"/>
          <w:sz w:val="18"/>
          <w:szCs w:val="18"/>
          <w:u w:val="single"/>
        </w:rPr>
      </w:pPr>
      <w:hyperlink r:id="rId9">
        <w:r w:rsidR="0045610E">
          <w:rPr>
            <w:rFonts w:ascii="Verdana" w:eastAsia="Verdana" w:hAnsi="Verdana" w:cs="Verdana"/>
            <w:b/>
            <w:color w:val="41525C"/>
            <w:sz w:val="18"/>
            <w:szCs w:val="18"/>
            <w:u w:val="single"/>
          </w:rPr>
          <w:t>www.manitowoc.com</w:t>
        </w:r>
      </w:hyperlink>
    </w:p>
    <w:sectPr w:rsidR="003C6DEC">
      <w:headerReference w:type="even" r:id="rId10"/>
      <w:headerReference w:type="default" r:id="rId11"/>
      <w:footerReference w:type="even" r:id="rId12"/>
      <w:footerReference w:type="default" r:id="rId13"/>
      <w:headerReference w:type="first" r:id="rId14"/>
      <w:footerReference w:type="first" r:id="rId15"/>
      <w:pgSz w:w="12240" w:h="15840"/>
      <w:pgMar w:top="1138" w:right="1411" w:bottom="1440" w:left="1411" w:header="1138" w:footer="181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8F67F" w14:textId="77777777" w:rsidR="009825A5" w:rsidRDefault="009825A5">
      <w:r>
        <w:separator/>
      </w:r>
    </w:p>
  </w:endnote>
  <w:endnote w:type="continuationSeparator" w:id="0">
    <w:p w14:paraId="4748614B" w14:textId="77777777" w:rsidR="009825A5" w:rsidRDefault="0098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3793" w14:textId="77777777" w:rsidR="003C6DEC" w:rsidRDefault="003C6DE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E87CF" w14:textId="77777777" w:rsidR="003C6DEC" w:rsidRDefault="003C6DEC">
    <w:pPr>
      <w:widowControl w:val="0"/>
      <w:pBdr>
        <w:top w:val="nil"/>
        <w:left w:val="nil"/>
        <w:bottom w:val="nil"/>
        <w:right w:val="nil"/>
        <w:between w:val="nil"/>
      </w:pBdr>
      <w:spacing w:line="276" w:lineRule="auto"/>
      <w:rPr>
        <w:color w:val="000000"/>
      </w:rPr>
    </w:pPr>
  </w:p>
  <w:tbl>
    <w:tblPr>
      <w:tblStyle w:val="a"/>
      <w:tblW w:w="9417" w:type="dxa"/>
      <w:tblLayout w:type="fixed"/>
      <w:tblLook w:val="0400" w:firstRow="0" w:lastRow="0" w:firstColumn="0" w:lastColumn="0" w:noHBand="0" w:noVBand="1"/>
    </w:tblPr>
    <w:tblGrid>
      <w:gridCol w:w="3139"/>
      <w:gridCol w:w="3139"/>
      <w:gridCol w:w="3139"/>
    </w:tblGrid>
    <w:tr w:rsidR="003C6DEC" w14:paraId="77C0E843" w14:textId="77777777">
      <w:tc>
        <w:tcPr>
          <w:tcW w:w="3139" w:type="dxa"/>
        </w:tcPr>
        <w:p w14:paraId="6A3CD641" w14:textId="77777777" w:rsidR="003C6DEC" w:rsidRDefault="003C6DEC">
          <w:pPr>
            <w:pBdr>
              <w:top w:val="nil"/>
              <w:left w:val="nil"/>
              <w:bottom w:val="nil"/>
              <w:right w:val="nil"/>
              <w:between w:val="nil"/>
            </w:pBdr>
            <w:tabs>
              <w:tab w:val="center" w:pos="4320"/>
              <w:tab w:val="right" w:pos="8640"/>
            </w:tabs>
            <w:ind w:left="-115"/>
            <w:rPr>
              <w:color w:val="000000"/>
            </w:rPr>
          </w:pPr>
        </w:p>
      </w:tc>
      <w:tc>
        <w:tcPr>
          <w:tcW w:w="3139" w:type="dxa"/>
        </w:tcPr>
        <w:p w14:paraId="3AF47573" w14:textId="77777777" w:rsidR="003C6DEC" w:rsidRDefault="003C6DEC">
          <w:pPr>
            <w:pBdr>
              <w:top w:val="nil"/>
              <w:left w:val="nil"/>
              <w:bottom w:val="nil"/>
              <w:right w:val="nil"/>
              <w:between w:val="nil"/>
            </w:pBdr>
            <w:tabs>
              <w:tab w:val="center" w:pos="4320"/>
              <w:tab w:val="right" w:pos="8640"/>
            </w:tabs>
            <w:jc w:val="center"/>
            <w:rPr>
              <w:color w:val="000000"/>
            </w:rPr>
          </w:pPr>
        </w:p>
      </w:tc>
      <w:tc>
        <w:tcPr>
          <w:tcW w:w="3139" w:type="dxa"/>
        </w:tcPr>
        <w:p w14:paraId="4F4A7D97" w14:textId="77777777" w:rsidR="003C6DEC" w:rsidRDefault="003C6DEC">
          <w:pPr>
            <w:pBdr>
              <w:top w:val="nil"/>
              <w:left w:val="nil"/>
              <w:bottom w:val="nil"/>
              <w:right w:val="nil"/>
              <w:between w:val="nil"/>
            </w:pBdr>
            <w:tabs>
              <w:tab w:val="center" w:pos="4320"/>
              <w:tab w:val="right" w:pos="8640"/>
            </w:tabs>
            <w:ind w:right="-115"/>
            <w:jc w:val="right"/>
            <w:rPr>
              <w:color w:val="000000"/>
            </w:rPr>
          </w:pPr>
        </w:p>
      </w:tc>
    </w:tr>
  </w:tbl>
  <w:p w14:paraId="3E9B4D73" w14:textId="77777777" w:rsidR="003C6DEC" w:rsidRDefault="003C6DEC">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EE44" w14:textId="77777777" w:rsidR="003C6DEC" w:rsidRDefault="003C6DEC">
    <w:pPr>
      <w:widowControl w:val="0"/>
      <w:pBdr>
        <w:top w:val="nil"/>
        <w:left w:val="nil"/>
        <w:bottom w:val="nil"/>
        <w:right w:val="nil"/>
        <w:between w:val="nil"/>
      </w:pBdr>
      <w:spacing w:line="276" w:lineRule="auto"/>
      <w:rPr>
        <w:color w:val="000000"/>
      </w:rPr>
    </w:pPr>
  </w:p>
  <w:tbl>
    <w:tblPr>
      <w:tblStyle w:val="a1"/>
      <w:tblW w:w="9417" w:type="dxa"/>
      <w:tblLayout w:type="fixed"/>
      <w:tblLook w:val="0400" w:firstRow="0" w:lastRow="0" w:firstColumn="0" w:lastColumn="0" w:noHBand="0" w:noVBand="1"/>
    </w:tblPr>
    <w:tblGrid>
      <w:gridCol w:w="3139"/>
      <w:gridCol w:w="3139"/>
      <w:gridCol w:w="3139"/>
    </w:tblGrid>
    <w:tr w:rsidR="003C6DEC" w14:paraId="351D416A" w14:textId="77777777">
      <w:tc>
        <w:tcPr>
          <w:tcW w:w="3139" w:type="dxa"/>
        </w:tcPr>
        <w:p w14:paraId="06549C45" w14:textId="77777777" w:rsidR="003C6DEC" w:rsidRDefault="003C6DEC">
          <w:pPr>
            <w:pBdr>
              <w:top w:val="nil"/>
              <w:left w:val="nil"/>
              <w:bottom w:val="nil"/>
              <w:right w:val="nil"/>
              <w:between w:val="nil"/>
            </w:pBdr>
            <w:tabs>
              <w:tab w:val="center" w:pos="4320"/>
              <w:tab w:val="right" w:pos="8640"/>
            </w:tabs>
            <w:ind w:left="-115"/>
            <w:rPr>
              <w:color w:val="000000"/>
            </w:rPr>
          </w:pPr>
        </w:p>
      </w:tc>
      <w:tc>
        <w:tcPr>
          <w:tcW w:w="3139" w:type="dxa"/>
        </w:tcPr>
        <w:p w14:paraId="76FBB650" w14:textId="77777777" w:rsidR="003C6DEC" w:rsidRDefault="003C6DEC">
          <w:pPr>
            <w:pBdr>
              <w:top w:val="nil"/>
              <w:left w:val="nil"/>
              <w:bottom w:val="nil"/>
              <w:right w:val="nil"/>
              <w:between w:val="nil"/>
            </w:pBdr>
            <w:tabs>
              <w:tab w:val="center" w:pos="4320"/>
              <w:tab w:val="right" w:pos="8640"/>
            </w:tabs>
            <w:jc w:val="center"/>
            <w:rPr>
              <w:color w:val="000000"/>
            </w:rPr>
          </w:pPr>
        </w:p>
      </w:tc>
      <w:tc>
        <w:tcPr>
          <w:tcW w:w="3139" w:type="dxa"/>
        </w:tcPr>
        <w:p w14:paraId="318E248F" w14:textId="77777777" w:rsidR="003C6DEC" w:rsidRDefault="003C6DEC">
          <w:pPr>
            <w:pBdr>
              <w:top w:val="nil"/>
              <w:left w:val="nil"/>
              <w:bottom w:val="nil"/>
              <w:right w:val="nil"/>
              <w:between w:val="nil"/>
            </w:pBdr>
            <w:tabs>
              <w:tab w:val="center" w:pos="4320"/>
              <w:tab w:val="right" w:pos="8640"/>
            </w:tabs>
            <w:ind w:right="-115"/>
            <w:jc w:val="right"/>
            <w:rPr>
              <w:color w:val="000000"/>
            </w:rPr>
          </w:pPr>
        </w:p>
      </w:tc>
    </w:tr>
  </w:tbl>
  <w:p w14:paraId="3E635394" w14:textId="77777777" w:rsidR="003C6DEC" w:rsidRDefault="003C6DE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D2C84" w14:textId="77777777" w:rsidR="009825A5" w:rsidRDefault="009825A5">
      <w:r>
        <w:separator/>
      </w:r>
    </w:p>
  </w:footnote>
  <w:footnote w:type="continuationSeparator" w:id="0">
    <w:p w14:paraId="0BEB469C" w14:textId="77777777" w:rsidR="009825A5" w:rsidRDefault="0098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3CCA8" w14:textId="77777777" w:rsidR="003C6DEC" w:rsidRDefault="003C6DEC">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0CFE4" w14:textId="77777777" w:rsidR="003C6DEC" w:rsidRDefault="0045610E">
    <w:pPr>
      <w:spacing w:line="276" w:lineRule="auto"/>
      <w:rPr>
        <w:rFonts w:ascii="Verdana" w:eastAsia="Verdana" w:hAnsi="Verdana" w:cs="Verdana"/>
        <w:b/>
        <w:sz w:val="18"/>
        <w:szCs w:val="18"/>
      </w:rPr>
    </w:pPr>
    <w:r>
      <w:rPr>
        <w:rFonts w:ascii="Verdana" w:eastAsia="Verdana" w:hAnsi="Verdana" w:cs="Verdana"/>
        <w:b/>
        <w:sz w:val="18"/>
        <w:szCs w:val="18"/>
      </w:rPr>
      <w:t>IDP supplies over 35 Potain cranes for major new development in Egypt</w:t>
    </w:r>
  </w:p>
  <w:p w14:paraId="50F41CEB" w14:textId="28350C6B" w:rsidR="003C6DEC" w:rsidRDefault="00BE096E">
    <w:pPr>
      <w:spacing w:line="276" w:lineRule="auto"/>
      <w:rPr>
        <w:rFonts w:ascii="Verdana" w:eastAsia="Verdana" w:hAnsi="Verdana" w:cs="Verdana"/>
        <w:color w:val="ED1C2A"/>
        <w:sz w:val="18"/>
        <w:szCs w:val="18"/>
      </w:rPr>
    </w:pPr>
    <w:r>
      <w:rPr>
        <w:rFonts w:ascii="Verdana" w:eastAsia="Verdana" w:hAnsi="Verdana" w:cs="Verdana"/>
        <w:color w:val="41525C"/>
        <w:sz w:val="18"/>
        <w:szCs w:val="18"/>
      </w:rPr>
      <w:t xml:space="preserve">16 </w:t>
    </w:r>
    <w:r w:rsidR="0045610E">
      <w:rPr>
        <w:rFonts w:ascii="Verdana" w:eastAsia="Verdana" w:hAnsi="Verdana" w:cs="Verdana"/>
        <w:color w:val="41525C"/>
        <w:sz w:val="18"/>
        <w:szCs w:val="18"/>
      </w:rPr>
      <w:t>July 2019</w:t>
    </w:r>
  </w:p>
  <w:p w14:paraId="40063AF6" w14:textId="77777777" w:rsidR="003C6DEC" w:rsidRDefault="003C6DEC">
    <w:pPr>
      <w:spacing w:line="276" w:lineRule="auto"/>
      <w:rPr>
        <w:rFonts w:ascii="Verdana" w:eastAsia="Verdana" w:hAnsi="Verdana" w:cs="Verdana"/>
        <w:sz w:val="16"/>
        <w:szCs w:val="16"/>
      </w:rPr>
    </w:pPr>
  </w:p>
  <w:p w14:paraId="4A10D62B" w14:textId="77777777" w:rsidR="003C6DEC" w:rsidRDefault="003C6DEC">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BA51" w14:textId="77777777" w:rsidR="003C6DEC" w:rsidRDefault="003C6DEC">
    <w:pPr>
      <w:widowControl w:val="0"/>
      <w:pBdr>
        <w:top w:val="nil"/>
        <w:left w:val="nil"/>
        <w:bottom w:val="nil"/>
        <w:right w:val="nil"/>
        <w:between w:val="nil"/>
      </w:pBdr>
      <w:spacing w:line="276" w:lineRule="auto"/>
      <w:rPr>
        <w:color w:val="000000"/>
      </w:rPr>
    </w:pPr>
  </w:p>
  <w:tbl>
    <w:tblPr>
      <w:tblStyle w:val="a0"/>
      <w:tblW w:w="9417" w:type="dxa"/>
      <w:tblLayout w:type="fixed"/>
      <w:tblLook w:val="0400" w:firstRow="0" w:lastRow="0" w:firstColumn="0" w:lastColumn="0" w:noHBand="0" w:noVBand="1"/>
    </w:tblPr>
    <w:tblGrid>
      <w:gridCol w:w="3139"/>
      <w:gridCol w:w="3139"/>
      <w:gridCol w:w="3139"/>
    </w:tblGrid>
    <w:tr w:rsidR="003C6DEC" w14:paraId="3929573A" w14:textId="77777777">
      <w:tc>
        <w:tcPr>
          <w:tcW w:w="3139" w:type="dxa"/>
        </w:tcPr>
        <w:p w14:paraId="02448C6C" w14:textId="77777777" w:rsidR="003C6DEC" w:rsidRDefault="003C6DEC">
          <w:pPr>
            <w:pBdr>
              <w:top w:val="nil"/>
              <w:left w:val="nil"/>
              <w:bottom w:val="nil"/>
              <w:right w:val="nil"/>
              <w:between w:val="nil"/>
            </w:pBdr>
            <w:tabs>
              <w:tab w:val="center" w:pos="4320"/>
              <w:tab w:val="right" w:pos="8640"/>
            </w:tabs>
            <w:ind w:left="-115"/>
            <w:rPr>
              <w:color w:val="000000"/>
            </w:rPr>
          </w:pPr>
        </w:p>
      </w:tc>
      <w:tc>
        <w:tcPr>
          <w:tcW w:w="3139" w:type="dxa"/>
        </w:tcPr>
        <w:p w14:paraId="1ACBBA4B" w14:textId="77777777" w:rsidR="003C6DEC" w:rsidRDefault="003C6DEC">
          <w:pPr>
            <w:pBdr>
              <w:top w:val="nil"/>
              <w:left w:val="nil"/>
              <w:bottom w:val="nil"/>
              <w:right w:val="nil"/>
              <w:between w:val="nil"/>
            </w:pBdr>
            <w:tabs>
              <w:tab w:val="center" w:pos="4320"/>
              <w:tab w:val="right" w:pos="8640"/>
            </w:tabs>
            <w:jc w:val="center"/>
            <w:rPr>
              <w:color w:val="000000"/>
            </w:rPr>
          </w:pPr>
        </w:p>
      </w:tc>
      <w:tc>
        <w:tcPr>
          <w:tcW w:w="3139" w:type="dxa"/>
        </w:tcPr>
        <w:p w14:paraId="14B6856D" w14:textId="77777777" w:rsidR="003C6DEC" w:rsidRDefault="003C6DEC">
          <w:pPr>
            <w:pBdr>
              <w:top w:val="nil"/>
              <w:left w:val="nil"/>
              <w:bottom w:val="nil"/>
              <w:right w:val="nil"/>
              <w:between w:val="nil"/>
            </w:pBdr>
            <w:tabs>
              <w:tab w:val="center" w:pos="4320"/>
              <w:tab w:val="right" w:pos="8640"/>
            </w:tabs>
            <w:ind w:right="-115"/>
            <w:jc w:val="right"/>
            <w:rPr>
              <w:color w:val="000000"/>
            </w:rPr>
          </w:pPr>
        </w:p>
      </w:tc>
    </w:tr>
  </w:tbl>
  <w:p w14:paraId="0204217E" w14:textId="77777777" w:rsidR="003C6DEC" w:rsidRDefault="003C6DEC">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63FAB"/>
    <w:multiLevelType w:val="multilevel"/>
    <w:tmpl w:val="7FA8C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DEC"/>
    <w:rsid w:val="003C6DEC"/>
    <w:rsid w:val="0045610E"/>
    <w:rsid w:val="004E209F"/>
    <w:rsid w:val="006D0D06"/>
    <w:rsid w:val="008A7EB2"/>
    <w:rsid w:val="00980A7F"/>
    <w:rsid w:val="009825A5"/>
    <w:rsid w:val="00B04C5D"/>
    <w:rsid w:val="00B96553"/>
    <w:rsid w:val="00BE096E"/>
    <w:rsid w:val="00D31660"/>
    <w:rsid w:val="00DE474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47F2"/>
  <w15:docId w15:val="{8B113FA2-2A59-443D-88B4-615B475F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nitha.govindasamy@manitowoc.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nitowoccrane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Shaw</dc:creator>
  <cp:lastModifiedBy>Paveena Kumar</cp:lastModifiedBy>
  <cp:revision>5</cp:revision>
  <dcterms:created xsi:type="dcterms:W3CDTF">2019-07-09T02:48:00Z</dcterms:created>
  <dcterms:modified xsi:type="dcterms:W3CDTF">2019-07-09T08:18:00Z</dcterms:modified>
</cp:coreProperties>
</file>