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8F3C2" w14:textId="77777777" w:rsidR="0092578F" w:rsidRDefault="00766D7F" w:rsidP="0092578F">
      <w:pPr>
        <w:tabs>
          <w:tab w:val="left" w:pos="6096"/>
        </w:tabs>
        <w:spacing w:line="276" w:lineRule="auto"/>
        <w:jc w:val="right"/>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0535D322" wp14:editId="7CF1821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softHyphen/>
      </w:r>
      <w:r>
        <w:rPr>
          <w:rFonts w:ascii="Verdana" w:hAnsi="Verdana"/>
          <w:color w:val="ED1C2A"/>
          <w:sz w:val="30"/>
        </w:rPr>
        <w:t>COMUNICADO DE PRENSA</w:t>
      </w:r>
    </w:p>
    <w:p w14:paraId="617C351D" w14:textId="2BB13B87" w:rsidR="0092578F" w:rsidRPr="00164A29" w:rsidRDefault="00A3152E" w:rsidP="0092578F">
      <w:pPr>
        <w:spacing w:line="276" w:lineRule="auto"/>
        <w:jc w:val="right"/>
        <w:rPr>
          <w:rFonts w:ascii="Verdana" w:hAnsi="Verdana"/>
          <w:color w:val="ED1C2A"/>
          <w:sz w:val="18"/>
          <w:szCs w:val="18"/>
        </w:rPr>
      </w:pPr>
      <w:r>
        <w:rPr>
          <w:rFonts w:ascii="Verdana" w:hAnsi="Verdana"/>
          <w:color w:val="41525C"/>
          <w:sz w:val="18"/>
        </w:rPr>
        <w:t>2</w:t>
      </w:r>
      <w:r w:rsidR="004442A9">
        <w:rPr>
          <w:rFonts w:ascii="Verdana" w:hAnsi="Verdana"/>
          <w:color w:val="41525C"/>
          <w:sz w:val="18"/>
        </w:rPr>
        <w:t xml:space="preserve"> de marzo de 2017</w:t>
      </w:r>
    </w:p>
    <w:p w14:paraId="750E78FE" w14:textId="77777777" w:rsidR="00164A29" w:rsidRDefault="00164A29" w:rsidP="00A44D46">
      <w:pPr>
        <w:spacing w:line="276" w:lineRule="auto"/>
        <w:rPr>
          <w:rFonts w:ascii="Verdana" w:hAnsi="Verdana"/>
          <w:color w:val="ED1C2A"/>
          <w:sz w:val="30"/>
          <w:szCs w:val="30"/>
        </w:rPr>
      </w:pPr>
    </w:p>
    <w:p w14:paraId="474491D9" w14:textId="77777777" w:rsidR="00506C1D" w:rsidRDefault="00506C1D" w:rsidP="00A44D46">
      <w:pPr>
        <w:tabs>
          <w:tab w:val="left" w:pos="6096"/>
        </w:tabs>
        <w:spacing w:line="276" w:lineRule="auto"/>
        <w:rPr>
          <w:rFonts w:ascii="Verdana" w:hAnsi="Verdana"/>
          <w:color w:val="ED1C2A"/>
          <w:sz w:val="30"/>
          <w:szCs w:val="30"/>
        </w:rPr>
      </w:pPr>
    </w:p>
    <w:p w14:paraId="2C9C0920" w14:textId="7D0D2E5C" w:rsidR="003B7D94" w:rsidRPr="00E90D69" w:rsidRDefault="003B7D94" w:rsidP="003B7D94">
      <w:pPr>
        <w:tabs>
          <w:tab w:val="left" w:pos="6096"/>
        </w:tabs>
        <w:outlineLvl w:val="0"/>
        <w:rPr>
          <w:rFonts w:ascii="Georgia" w:hAnsi="Georgia"/>
          <w:b/>
        </w:rPr>
      </w:pPr>
      <w:r>
        <w:rPr>
          <w:rFonts w:ascii="Georgia" w:hAnsi="Georgia"/>
          <w:b/>
        </w:rPr>
        <w:t>Manitowoc presenta l</w:t>
      </w:r>
      <w:r w:rsidR="00A3152E">
        <w:rPr>
          <w:rFonts w:ascii="Georgia" w:hAnsi="Georgia"/>
          <w:b/>
        </w:rPr>
        <w:t>a MLC300 con mayor versatilidad</w:t>
      </w:r>
    </w:p>
    <w:p w14:paraId="7916DB8D" w14:textId="77777777" w:rsidR="003B7D94" w:rsidRDefault="003B7D94" w:rsidP="003B7D94">
      <w:pPr>
        <w:rPr>
          <w:rFonts w:ascii="Georgia" w:eastAsia="MS Mincho" w:hAnsi="Georgia"/>
          <w:sz w:val="21"/>
          <w:szCs w:val="21"/>
        </w:rPr>
      </w:pPr>
    </w:p>
    <w:p w14:paraId="7CF1A2A3" w14:textId="21CDD2E4" w:rsidR="00E40FD9" w:rsidRDefault="00E40FD9" w:rsidP="00164766">
      <w:pPr>
        <w:rPr>
          <w:rFonts w:ascii="Georgia" w:hAnsi="Georgia" w:cs="Georgia"/>
          <w:sz w:val="21"/>
          <w:szCs w:val="21"/>
        </w:rPr>
      </w:pPr>
      <w:r>
        <w:rPr>
          <w:rFonts w:ascii="Georgia" w:hAnsi="Georgia"/>
          <w:sz w:val="21"/>
        </w:rPr>
        <w:t xml:space="preserve">Manitowoc presentó una nueva versión de la Manitowoc MLC300 </w:t>
      </w:r>
      <w:r w:rsidR="00AD7B0D">
        <w:rPr>
          <w:rFonts w:ascii="Georgia" w:hAnsi="Georgia"/>
          <w:sz w:val="21"/>
        </w:rPr>
        <w:t xml:space="preserve">que utiliza </w:t>
      </w:r>
      <w:r>
        <w:rPr>
          <w:rFonts w:ascii="Georgia" w:hAnsi="Georgia"/>
          <w:sz w:val="21"/>
        </w:rPr>
        <w:t>contrapeso de posición fijo. Este nuevo modelo posee muchas de las características de la MLC300 original, pero no cuenta con la tecnología de contrapeso de posición variable (VPC).</w:t>
      </w:r>
    </w:p>
    <w:p w14:paraId="5CF92F24" w14:textId="77777777" w:rsidR="00E40FD9" w:rsidRDefault="00E40FD9" w:rsidP="00164766">
      <w:pPr>
        <w:rPr>
          <w:rFonts w:ascii="Georgia" w:hAnsi="Georgia" w:cs="Georgia"/>
          <w:sz w:val="21"/>
          <w:szCs w:val="21"/>
        </w:rPr>
      </w:pPr>
    </w:p>
    <w:p w14:paraId="5E924F85" w14:textId="77777777" w:rsidR="008831B3" w:rsidRDefault="00581552" w:rsidP="00164766">
      <w:pPr>
        <w:rPr>
          <w:rFonts w:ascii="Georgia" w:hAnsi="Georgia" w:cs="Georgia"/>
          <w:sz w:val="21"/>
          <w:szCs w:val="21"/>
        </w:rPr>
      </w:pPr>
      <w:r>
        <w:rPr>
          <w:rFonts w:ascii="Georgia" w:hAnsi="Georgia"/>
          <w:sz w:val="21"/>
        </w:rPr>
        <w:t>Esta nueva iteración de la MLC300 les resultará atractiva a los clientes que desean la plataforma de 300 toneladas y la dimensión compacta del modelo de grúa de oruga original, pero que no quieren invertir dinero adicional en las características y piezas móviles que requiere el VPC. Para esta configuración, el carro y la bandeja de VPC de la MLC300 se reemplazaron por una bandeja de contrapeso fija de dos posiciones.</w:t>
      </w:r>
    </w:p>
    <w:p w14:paraId="2E017A2F" w14:textId="77777777" w:rsidR="00156507" w:rsidRDefault="00156507" w:rsidP="00641DBB">
      <w:pPr>
        <w:rPr>
          <w:rFonts w:ascii="Georgia" w:eastAsia="MS Mincho" w:hAnsi="Georgia"/>
          <w:sz w:val="21"/>
          <w:szCs w:val="21"/>
        </w:rPr>
      </w:pPr>
    </w:p>
    <w:p w14:paraId="09B920E3" w14:textId="77777777" w:rsidR="00A01B27" w:rsidRDefault="00D90701" w:rsidP="00D90701">
      <w:pPr>
        <w:rPr>
          <w:rFonts w:ascii="Georgia" w:eastAsia="MS Mincho" w:hAnsi="Georgia"/>
          <w:sz w:val="21"/>
          <w:szCs w:val="21"/>
        </w:rPr>
      </w:pPr>
      <w:r>
        <w:rPr>
          <w:rFonts w:ascii="Georgia" w:hAnsi="Georgia"/>
          <w:sz w:val="21"/>
        </w:rPr>
        <w:t xml:space="preserve">La MLC300 con contrapeso de posición fijo satisface todas las necesidades de elevación de una grúa de categoría de 300 toneladas convencional, y es ideal para propietarios de equipos que se dedican a aplicaciones de ciclo de trabajo limitado que emplean cargas más livianas y elevaciones más repetitivas. La ingeniería de la grúa refleja el lema </w:t>
      </w:r>
      <w:r>
        <w:rPr>
          <w:rFonts w:ascii="Georgia" w:hAnsi="Georgia"/>
          <w:i/>
          <w:sz w:val="21"/>
        </w:rPr>
        <w:t>La manera Manitowoc</w:t>
      </w:r>
      <w:r>
        <w:rPr>
          <w:rFonts w:ascii="Georgia" w:hAnsi="Georgia"/>
          <w:sz w:val="21"/>
        </w:rPr>
        <w:t xml:space="preserve">, una filosofía que incorpora las necesidades y los deseos de los clientes en el diseño del producto, con el fin de satisfacer mejor las demandas del mercado. En este caso, los clientes que utilizan la grúa para determinadas operaciones manifestaron la necesidad de una MLC300 con contrapeso de posición fijo. </w:t>
      </w:r>
    </w:p>
    <w:p w14:paraId="1E2F66B4" w14:textId="77777777" w:rsidR="00A01B27" w:rsidRDefault="00A01B27" w:rsidP="00D90701">
      <w:pPr>
        <w:rPr>
          <w:rFonts w:ascii="Georgia" w:eastAsia="MS Mincho" w:hAnsi="Georgia"/>
          <w:sz w:val="21"/>
          <w:szCs w:val="21"/>
        </w:rPr>
      </w:pPr>
    </w:p>
    <w:p w14:paraId="1B83D0BF" w14:textId="77777777" w:rsidR="00A01B27" w:rsidRDefault="00A01B27" w:rsidP="00D90701">
      <w:pPr>
        <w:rPr>
          <w:rFonts w:ascii="Georgia" w:eastAsia="MS Mincho" w:hAnsi="Georgia"/>
          <w:sz w:val="21"/>
          <w:szCs w:val="21"/>
        </w:rPr>
      </w:pPr>
      <w:r>
        <w:rPr>
          <w:rFonts w:ascii="Georgia" w:hAnsi="Georgia"/>
          <w:sz w:val="21"/>
        </w:rPr>
        <w:t xml:space="preserve">Harley Smith, director global de productos para grúas de oruga de Manitowoc, explicó cómo las empresas especializadas en elevación influyeron en el diseño y la fabricación de la MLC300 con contrapeso de posición fijo. </w:t>
      </w:r>
    </w:p>
    <w:p w14:paraId="2AEC028F" w14:textId="77777777" w:rsidR="00A01B27" w:rsidRDefault="00A01B27" w:rsidP="00D90701">
      <w:pPr>
        <w:rPr>
          <w:rFonts w:ascii="Georgia" w:eastAsia="MS Mincho" w:hAnsi="Georgia"/>
          <w:sz w:val="21"/>
          <w:szCs w:val="21"/>
        </w:rPr>
      </w:pPr>
    </w:p>
    <w:p w14:paraId="3B2AF341" w14:textId="77777777" w:rsidR="00A01B27" w:rsidRDefault="00A01B27" w:rsidP="00641DBB">
      <w:pPr>
        <w:rPr>
          <w:rFonts w:ascii="Georgia" w:hAnsi="Georgia"/>
          <w:sz w:val="21"/>
          <w:szCs w:val="21"/>
        </w:rPr>
      </w:pPr>
      <w:r>
        <w:rPr>
          <w:rFonts w:ascii="Georgia" w:hAnsi="Georgia"/>
          <w:sz w:val="21"/>
        </w:rPr>
        <w:t>“Manitowoc detectó en el mercado de las grúas de oruga una creciente necesidad de contar con más versatilidad en una categoría de capacidad mayor que la del modelo 2250 para una variedad de aplicaciones”, dijo. “Los propietarios de equipos que se centran en aplicaciones de ciclo de trabajo, como operaciones de cucharones de almeja, manejo de materiales a granel o hincado de pilotes, no necesitaban las características y la gran capacidad de desempeño asociadas a la tecnología VPC, y preferían invertir en una grúa que cumpliera con los requisitos exclusivos de su lugar de trabajo. En combinación con múltiples opciones de elevación de cargas, entre ellas la de caída libre, la MLC300 con contrapeso de posición fijo es una grúa que ofrece gran poder de elevación y tracción de cable para una amplia variedad de trabajos”.</w:t>
      </w:r>
    </w:p>
    <w:p w14:paraId="79C2CD24" w14:textId="77777777" w:rsidR="00A01B27" w:rsidRDefault="00A01B27" w:rsidP="00641DBB">
      <w:pPr>
        <w:rPr>
          <w:rFonts w:ascii="Georgia" w:hAnsi="Georgia"/>
          <w:sz w:val="21"/>
          <w:szCs w:val="21"/>
        </w:rPr>
      </w:pPr>
    </w:p>
    <w:p w14:paraId="4144D7B0" w14:textId="77777777" w:rsidR="00C065CD" w:rsidRPr="00C065CD" w:rsidRDefault="00A01B27" w:rsidP="00BE0999">
      <w:pPr>
        <w:rPr>
          <w:rFonts w:ascii="Georgia" w:hAnsi="Georgia"/>
          <w:b/>
          <w:sz w:val="21"/>
          <w:szCs w:val="21"/>
        </w:rPr>
      </w:pPr>
      <w:r>
        <w:rPr>
          <w:rFonts w:ascii="Georgia" w:hAnsi="Georgia"/>
          <w:b/>
          <w:sz w:val="21"/>
        </w:rPr>
        <w:t>Una grúa repleta de características</w:t>
      </w:r>
    </w:p>
    <w:p w14:paraId="09134D4A" w14:textId="77777777" w:rsidR="00337101" w:rsidRDefault="00337101" w:rsidP="00BE0999">
      <w:pPr>
        <w:rPr>
          <w:rFonts w:ascii="Georgia" w:hAnsi="Georgia"/>
          <w:sz w:val="21"/>
          <w:szCs w:val="21"/>
        </w:rPr>
      </w:pPr>
    </w:p>
    <w:p w14:paraId="4488B4E6" w14:textId="77777777" w:rsidR="00337101" w:rsidRDefault="00337101" w:rsidP="00BE0999">
      <w:pPr>
        <w:rPr>
          <w:rFonts w:ascii="Georgia" w:hAnsi="Georgia"/>
          <w:sz w:val="21"/>
          <w:szCs w:val="21"/>
        </w:rPr>
      </w:pPr>
      <w:r>
        <w:rPr>
          <w:rFonts w:ascii="Georgia" w:hAnsi="Georgia"/>
          <w:sz w:val="21"/>
        </w:rPr>
        <w:t>La MLC300 con contrapeso de posición fijo cuenta con una pluma de 96 m y tiene la opción de agregarle un plumín fijo de 30 m. Es posible añadir un plumín abatible de 96 m para extender su alcance a 150 m.</w:t>
      </w:r>
    </w:p>
    <w:p w14:paraId="4B90AB0E" w14:textId="77777777" w:rsidR="000E39AE" w:rsidRDefault="000E39AE" w:rsidP="00BE0999">
      <w:pPr>
        <w:rPr>
          <w:rFonts w:ascii="Georgia" w:hAnsi="Georgia"/>
          <w:sz w:val="21"/>
          <w:szCs w:val="21"/>
        </w:rPr>
      </w:pPr>
    </w:p>
    <w:p w14:paraId="07FF0737" w14:textId="77777777" w:rsidR="00A574EE" w:rsidRDefault="00C065CD" w:rsidP="00A574EE">
      <w:pPr>
        <w:rPr>
          <w:rFonts w:ascii="Georgia" w:hAnsi="Georgia"/>
          <w:sz w:val="21"/>
          <w:szCs w:val="21"/>
        </w:rPr>
      </w:pPr>
      <w:r>
        <w:rPr>
          <w:rFonts w:ascii="Georgia" w:hAnsi="Georgia"/>
          <w:sz w:val="21"/>
        </w:rPr>
        <w:t xml:space="preserve">La MLC300 se transporta fácilmente en cualquier parte del mundo gracias a la optimización del peso y de las dimensiones de sus componentes. La grúa tiene un módulo de transporte de mástil activo desmontable y sus insertos de pluma están diseñados para albergar los insertos de plumín abatible durante el embarque, lo que reduce los costos de transporte. </w:t>
      </w:r>
    </w:p>
    <w:p w14:paraId="5DC47543" w14:textId="77777777" w:rsidR="0029148E" w:rsidRDefault="0029148E" w:rsidP="00BE0999">
      <w:pPr>
        <w:rPr>
          <w:rFonts w:ascii="Georgia" w:hAnsi="Georgia"/>
          <w:sz w:val="21"/>
          <w:szCs w:val="21"/>
        </w:rPr>
      </w:pPr>
    </w:p>
    <w:p w14:paraId="54D37297" w14:textId="77777777" w:rsidR="00B726AC" w:rsidRDefault="0029148E" w:rsidP="00BE0999">
      <w:pPr>
        <w:rPr>
          <w:rFonts w:ascii="Georgia" w:eastAsia="MS Mincho" w:hAnsi="Georgia"/>
          <w:sz w:val="21"/>
          <w:szCs w:val="21"/>
        </w:rPr>
      </w:pPr>
      <w:r>
        <w:rPr>
          <w:rFonts w:ascii="Georgia" w:hAnsi="Georgia"/>
          <w:sz w:val="21"/>
        </w:rPr>
        <w:t xml:space="preserve">Al igual que la mayoría de los modelos de grúa nuevos de Manitowoc, la MLC300 con contrapeso de posición fijo está dotada del sistema de control de grúa (CCS), un sistema operativo estandarizado incluido en varios modelos de grúa en diferentes líneas de productos. El CCS contribuye a que las empresas especializadas en elevación no tengan que capacitarse tanto, ya que muchas grúas </w:t>
      </w:r>
      <w:r>
        <w:rPr>
          <w:rFonts w:ascii="Georgia" w:hAnsi="Georgia"/>
          <w:sz w:val="21"/>
        </w:rPr>
        <w:lastRenderedPageBreak/>
        <w:t>Manitowoc emplean los mismos controles ergonómicos y pantallas intuitivas. También reduce las necesidades de repuestos y mantenimiento porque los componentes funcionan en varias líneas de grúas.</w:t>
      </w:r>
    </w:p>
    <w:p w14:paraId="4EDFF03C" w14:textId="77777777" w:rsidR="00594CB1" w:rsidRDefault="00594CB1" w:rsidP="00BE0999">
      <w:pPr>
        <w:rPr>
          <w:rFonts w:ascii="Georgia" w:eastAsia="MS Mincho" w:hAnsi="Georgia"/>
          <w:sz w:val="21"/>
          <w:szCs w:val="21"/>
        </w:rPr>
      </w:pPr>
    </w:p>
    <w:p w14:paraId="000FFE6D" w14:textId="77777777" w:rsidR="00594CB1" w:rsidRDefault="00594CB1" w:rsidP="00594CB1">
      <w:pPr>
        <w:rPr>
          <w:rFonts w:ascii="Georgia" w:eastAsia="MS Mincho" w:hAnsi="Georgia"/>
          <w:sz w:val="21"/>
          <w:szCs w:val="21"/>
        </w:rPr>
      </w:pPr>
      <w:r>
        <w:rPr>
          <w:rFonts w:ascii="Georgia" w:hAnsi="Georgia"/>
          <w:sz w:val="21"/>
        </w:rPr>
        <w:t>Hay un paquete de productos posventa para cada grúa MLC300 con contrapeso de posición fijo, disponible a través de Manitowoc Crane Care para adaptar a un sistema VPC.</w:t>
      </w:r>
    </w:p>
    <w:p w14:paraId="00A039CC" w14:textId="77777777" w:rsidR="00594CB1" w:rsidRDefault="00594CB1" w:rsidP="00BE0999">
      <w:pPr>
        <w:rPr>
          <w:rFonts w:ascii="Georgia" w:hAnsi="Georgia"/>
          <w:sz w:val="21"/>
          <w:szCs w:val="21"/>
        </w:rPr>
      </w:pPr>
    </w:p>
    <w:p w14:paraId="1DD6024E" w14:textId="77777777" w:rsidR="00B726AC" w:rsidRDefault="00B726AC" w:rsidP="00BE0999">
      <w:pPr>
        <w:rPr>
          <w:rFonts w:ascii="Georgia" w:hAnsi="Georgia"/>
          <w:sz w:val="21"/>
          <w:szCs w:val="21"/>
        </w:rPr>
      </w:pPr>
    </w:p>
    <w:p w14:paraId="36233E80" w14:textId="77777777" w:rsidR="0064509F" w:rsidRPr="00C065CD" w:rsidRDefault="00C065CD" w:rsidP="00952C05">
      <w:pPr>
        <w:tabs>
          <w:tab w:val="center" w:pos="4709"/>
        </w:tabs>
        <w:rPr>
          <w:rFonts w:ascii="Georgia" w:hAnsi="Georgia"/>
          <w:b/>
          <w:sz w:val="21"/>
          <w:szCs w:val="21"/>
        </w:rPr>
      </w:pPr>
      <w:r>
        <w:rPr>
          <w:rFonts w:ascii="Georgia" w:hAnsi="Georgia"/>
          <w:b/>
          <w:sz w:val="21"/>
        </w:rPr>
        <w:t>Cuando menos significa más</w:t>
      </w:r>
      <w:r>
        <w:tab/>
      </w:r>
    </w:p>
    <w:p w14:paraId="01218012" w14:textId="77777777" w:rsidR="00C065CD" w:rsidRDefault="00C065CD" w:rsidP="00BE0999">
      <w:pPr>
        <w:rPr>
          <w:rFonts w:ascii="Georgia" w:hAnsi="Georgia"/>
          <w:sz w:val="21"/>
          <w:szCs w:val="21"/>
        </w:rPr>
      </w:pPr>
    </w:p>
    <w:p w14:paraId="7D3AD9F3" w14:textId="77777777" w:rsidR="00AF4D8F" w:rsidRDefault="003E0C3B" w:rsidP="00AF4D8F">
      <w:pPr>
        <w:rPr>
          <w:rFonts w:ascii="Georgia" w:eastAsia="MS Mincho" w:hAnsi="Georgia"/>
          <w:sz w:val="21"/>
          <w:szCs w:val="21"/>
        </w:rPr>
      </w:pPr>
      <w:r>
        <w:rPr>
          <w:rFonts w:ascii="Georgia" w:hAnsi="Georgia"/>
          <w:sz w:val="21"/>
        </w:rPr>
        <w:t>Para simplificar el diseño de la MLC300, el sistema VPC y el paquete de preparación para VPC-MAX no se incluyen; no obstante, todas las máquinas con contrapeso de posición fijo pueden acondicionarse para la configuración de VPC. En su lugar, se utilizó un sistema de contrapeso fijo convencional que se puede configurar en dos posiciones según el contrapeso total seleccionado: una posición de grúa de elevación estándar y una posición de ciclo de trabajo limitado que permite que el contrapeso equilibre el giro de cola de la plataforma giratoria.  Es un abordaje convencional de los sistemas de contrapeso que Manitowoc espera que aporte mayor valor para un segmento específico de sus clientes.</w:t>
      </w:r>
    </w:p>
    <w:p w14:paraId="55C82DF2" w14:textId="77777777" w:rsidR="00AF4D8F" w:rsidRDefault="00AF4D8F" w:rsidP="00AF4D8F">
      <w:pPr>
        <w:rPr>
          <w:rFonts w:ascii="Georgia" w:eastAsia="MS Mincho" w:hAnsi="Georgia"/>
          <w:sz w:val="21"/>
          <w:szCs w:val="21"/>
        </w:rPr>
      </w:pPr>
    </w:p>
    <w:p w14:paraId="7B978D3A" w14:textId="77777777" w:rsidR="00AF4D8F" w:rsidRDefault="00AF4D8F" w:rsidP="00AF4D8F">
      <w:pPr>
        <w:rPr>
          <w:rFonts w:ascii="Georgia" w:eastAsia="MS Mincho" w:hAnsi="Georgia"/>
          <w:sz w:val="21"/>
          <w:szCs w:val="21"/>
        </w:rPr>
      </w:pPr>
      <w:r>
        <w:rPr>
          <w:rFonts w:ascii="Georgia" w:hAnsi="Georgia"/>
          <w:sz w:val="21"/>
        </w:rPr>
        <w:t xml:space="preserve">“Queremos impulsar mayor versatilidad de la MLC300 para la gran variedad de clientes de Manitowoc y sus aplicaciones específicas. No todos los clientes necesitan las características de aumento de capacidad de la tecnología VPC”, dijo Smith. “La MLC300 con contrapeso de posición fijo ofrece un desempeño competitivo en el mercado desde la perspectiva de una tabla de capacidades, y es la mejor opción para encarar tareas de ciclo de trabajo limitado cuando surge la necesidad. Es un enfoque sencillo que presta atención a las necesidades de los clientes, que son el componente clave de </w:t>
      </w:r>
      <w:r>
        <w:rPr>
          <w:rFonts w:ascii="Georgia" w:hAnsi="Georgia"/>
          <w:i/>
          <w:sz w:val="21"/>
        </w:rPr>
        <w:t>La manera Manitowoc</w:t>
      </w:r>
      <w:r>
        <w:rPr>
          <w:rFonts w:ascii="Georgia" w:hAnsi="Georgia"/>
          <w:sz w:val="21"/>
        </w:rPr>
        <w:t>”.</w:t>
      </w:r>
    </w:p>
    <w:p w14:paraId="0011F4FE" w14:textId="77777777" w:rsidR="00AF4D8F" w:rsidRDefault="00AF4D8F" w:rsidP="00AF4D8F">
      <w:pPr>
        <w:rPr>
          <w:rFonts w:ascii="Georgia" w:eastAsia="MS Mincho" w:hAnsi="Georgia"/>
          <w:sz w:val="21"/>
          <w:szCs w:val="21"/>
        </w:rPr>
      </w:pPr>
    </w:p>
    <w:p w14:paraId="4BF05EC2" w14:textId="77777777" w:rsidR="003B7D94" w:rsidRPr="007E4311" w:rsidRDefault="006C54E3" w:rsidP="003B7D94">
      <w:pPr>
        <w:rPr>
          <w:rFonts w:ascii="Georgia" w:eastAsia="MS Mincho" w:hAnsi="Georgia"/>
          <w:sz w:val="21"/>
          <w:szCs w:val="21"/>
        </w:rPr>
      </w:pPr>
      <w:r>
        <w:rPr>
          <w:rFonts w:ascii="Georgia" w:hAnsi="Georgia"/>
          <w:sz w:val="21"/>
        </w:rPr>
        <w:t>La MLC300 con contrapeso de posición fijo estará disponible en el segundo trimestre de 2017.</w:t>
      </w:r>
    </w:p>
    <w:p w14:paraId="5F7011F1" w14:textId="77777777" w:rsidR="008831B3" w:rsidRPr="00E06736" w:rsidRDefault="008831B3" w:rsidP="001A65C1">
      <w:pPr>
        <w:spacing w:line="276" w:lineRule="auto"/>
        <w:rPr>
          <w:rFonts w:ascii="Georgia" w:hAnsi="Georgia" w:cs="Georgia"/>
          <w:sz w:val="21"/>
          <w:szCs w:val="21"/>
        </w:rPr>
      </w:pPr>
    </w:p>
    <w:p w14:paraId="696D2D61"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-FIN-</w:t>
      </w:r>
    </w:p>
    <w:p w14:paraId="1C72D27C"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C697368" w14:textId="77777777" w:rsidR="00374305" w:rsidRPr="00C77C93" w:rsidRDefault="00374305" w:rsidP="00374305">
      <w:pPr>
        <w:spacing w:line="276" w:lineRule="auto"/>
        <w:rPr>
          <w:rFonts w:ascii="Verdana" w:hAnsi="Verdana"/>
          <w:color w:val="ED1C2A"/>
          <w:sz w:val="18"/>
        </w:rPr>
      </w:pPr>
      <w:r>
        <w:rPr>
          <w:rFonts w:ascii="Verdana" w:hAnsi="Verdana"/>
          <w:color w:val="ED1C2A"/>
          <w:sz w:val="18"/>
        </w:rPr>
        <w:t>CONTACTO</w:t>
      </w:r>
    </w:p>
    <w:p w14:paraId="247D4C34" w14:textId="77777777" w:rsidR="00374305" w:rsidRPr="00CD6A67" w:rsidRDefault="00374305" w:rsidP="00374305">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r>
        <w:rPr>
          <w:rFonts w:ascii="Verdana" w:hAnsi="Verdana"/>
          <w:sz w:val="18"/>
          <w:szCs w:val="18"/>
        </w:rPr>
        <w:tab/>
      </w:r>
      <w:r>
        <w:rPr>
          <w:rFonts w:ascii="Verdana" w:hAnsi="Verdana"/>
          <w:b/>
          <w:color w:val="41525C"/>
          <w:sz w:val="18"/>
          <w:szCs w:val="18"/>
        </w:rPr>
        <w:t>Mariana Santos</w:t>
      </w:r>
    </w:p>
    <w:p w14:paraId="75E11E42" w14:textId="77777777" w:rsidR="00374305" w:rsidRPr="00CD6A67" w:rsidRDefault="00374305" w:rsidP="00374305">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14:paraId="5852D318" w14:textId="77777777" w:rsidR="00374305" w:rsidRPr="00CD6A67" w:rsidRDefault="00374305" w:rsidP="00374305">
      <w:pPr>
        <w:tabs>
          <w:tab w:val="left" w:pos="3969"/>
        </w:tabs>
        <w:spacing w:line="276" w:lineRule="auto"/>
        <w:rPr>
          <w:rFonts w:ascii="Verdana" w:hAnsi="Verdana"/>
          <w:color w:val="41525C"/>
          <w:sz w:val="18"/>
          <w:szCs w:val="18"/>
          <w:lang w:val="fr-FR"/>
        </w:rPr>
      </w:pPr>
      <w:r>
        <w:rPr>
          <w:rFonts w:ascii="Verdana" w:hAnsi="Verdana"/>
          <w:color w:val="41525C"/>
          <w:sz w:val="18"/>
          <w:szCs w:val="18"/>
          <w:lang w:val="fr-FR"/>
        </w:rPr>
        <w:t>T +55 11 3103 0270</w:t>
      </w:r>
      <w:r w:rsidRPr="00CD6A67">
        <w:rPr>
          <w:rFonts w:ascii="Verdana" w:hAnsi="Verdana"/>
          <w:color w:val="41525C"/>
          <w:sz w:val="18"/>
          <w:szCs w:val="18"/>
          <w:lang w:val="fr-FR"/>
        </w:rPr>
        <w:tab/>
      </w:r>
      <w:r>
        <w:rPr>
          <w:rFonts w:ascii="Verdana" w:hAnsi="Verdana"/>
          <w:color w:val="41525C"/>
          <w:sz w:val="18"/>
          <w:szCs w:val="18"/>
          <w:lang w:val="fr-FR"/>
        </w:rPr>
        <w:t>T +1 312 548 8444</w:t>
      </w:r>
    </w:p>
    <w:p w14:paraId="7C792924" w14:textId="77777777" w:rsidR="00374305" w:rsidRPr="008672DB" w:rsidRDefault="00374305" w:rsidP="00374305">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Pr="00BE2551">
          <w:rPr>
            <w:rStyle w:val="Hyperlink"/>
            <w:rFonts w:ascii="Verdana" w:hAnsi="Verdana"/>
            <w:color w:val="41525C"/>
            <w:sz w:val="18"/>
            <w:szCs w:val="18"/>
            <w:lang w:val="fr-FR"/>
          </w:rPr>
          <w:t>leandro.moura@manitowoc.com</w:t>
        </w:r>
      </w:hyperlink>
      <w:r w:rsidRPr="00BE2551">
        <w:rPr>
          <w:rFonts w:ascii="Verdana" w:hAnsi="Verdana"/>
          <w:color w:val="41525C"/>
          <w:sz w:val="18"/>
          <w:szCs w:val="18"/>
          <w:lang w:val="fr-FR"/>
        </w:rPr>
        <w:tab/>
      </w:r>
      <w:hyperlink r:id="rId10" w:history="1">
        <w:r w:rsidRPr="00BE2551">
          <w:rPr>
            <w:rStyle w:val="Hyperlink"/>
            <w:rFonts w:ascii="Verdana" w:hAnsi="Verdana"/>
            <w:color w:val="41525C"/>
            <w:sz w:val="18"/>
            <w:szCs w:val="18"/>
            <w:lang w:val="fr-FR"/>
          </w:rPr>
          <w:t>mariana.santos@se10.com</w:t>
        </w:r>
      </w:hyperlink>
    </w:p>
    <w:p w14:paraId="00B2BF0F" w14:textId="77777777" w:rsidR="002413D8" w:rsidRDefault="002413D8" w:rsidP="002413D8">
      <w:pPr>
        <w:spacing w:line="276" w:lineRule="auto"/>
        <w:rPr>
          <w:rFonts w:ascii="Verdana" w:hAnsi="Verdana" w:cs="Arial"/>
          <w:sz w:val="18"/>
          <w:szCs w:val="18"/>
        </w:rPr>
      </w:pPr>
      <w:bookmarkStart w:id="0" w:name="_GoBack"/>
      <w:bookmarkEnd w:id="0"/>
    </w:p>
    <w:p w14:paraId="6458528D" w14:textId="77777777" w:rsidR="002413D8" w:rsidRDefault="002413D8" w:rsidP="002413D8">
      <w:pPr>
        <w:widowControl w:val="0"/>
        <w:autoSpaceDE w:val="0"/>
        <w:autoSpaceDN w:val="0"/>
        <w:adjustRightInd w:val="0"/>
        <w:spacing w:line="276" w:lineRule="auto"/>
        <w:rPr>
          <w:rFonts w:ascii="Verdana" w:hAnsi="Verdana" w:cs="Calibri"/>
          <w:color w:val="FF0000"/>
          <w:sz w:val="18"/>
          <w:szCs w:val="18"/>
        </w:rPr>
      </w:pPr>
      <w:r>
        <w:rPr>
          <w:rFonts w:ascii="Verdana" w:hAnsi="Verdana"/>
          <w:color w:val="FF0000"/>
          <w:sz w:val="18"/>
        </w:rPr>
        <w:t>ACERCA DE THE MANITOWOC COMPANY, INC.</w:t>
      </w:r>
    </w:p>
    <w:p w14:paraId="2B63DC98" w14:textId="77777777" w:rsidR="002413D8" w:rsidRDefault="002413D8" w:rsidP="002413D8">
      <w:pPr>
        <w:spacing w:line="276" w:lineRule="auto"/>
        <w:rPr>
          <w:rFonts w:ascii="Verdana" w:hAnsi="Verdana"/>
          <w:color w:val="41525C"/>
          <w:sz w:val="18"/>
          <w:szCs w:val="18"/>
        </w:rPr>
      </w:pPr>
      <w:r>
        <w:rPr>
          <w:rFonts w:ascii="Verdana" w:hAnsi="Verdana"/>
          <w:color w:val="41525C"/>
          <w:sz w:val="18"/>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los ingresos de Manitowoc alcanzaron los US$1600 millones, con más de la mitad de ese monto generado afuera de los Estados Unidos.</w:t>
      </w:r>
    </w:p>
    <w:p w14:paraId="31126B57" w14:textId="77777777" w:rsidR="002413D8" w:rsidRDefault="002413D8" w:rsidP="002413D8">
      <w:pPr>
        <w:spacing w:line="276" w:lineRule="auto"/>
        <w:rPr>
          <w:rFonts w:ascii="Verdana" w:hAnsi="Verdana"/>
          <w:color w:val="41525C"/>
          <w:sz w:val="18"/>
          <w:szCs w:val="18"/>
        </w:rPr>
      </w:pPr>
    </w:p>
    <w:p w14:paraId="4E5D3E2A" w14:textId="77777777" w:rsidR="0080533F" w:rsidRPr="00A678F4" w:rsidRDefault="0080533F" w:rsidP="0080533F">
      <w:pPr>
        <w:spacing w:line="276" w:lineRule="auto"/>
        <w:outlineLvl w:val="0"/>
        <w:rPr>
          <w:sz w:val="18"/>
          <w:szCs w:val="18"/>
        </w:rPr>
      </w:pPr>
      <w:r>
        <w:rPr>
          <w:rFonts w:ascii="Verdana" w:hAnsi="Verdana"/>
          <w:color w:val="ED1C2A"/>
          <w:sz w:val="18"/>
          <w:szCs w:val="18"/>
        </w:rPr>
        <w:t>THE MANITOWOC COMPANY, INC.</w:t>
      </w:r>
    </w:p>
    <w:p w14:paraId="6A26BB0E" w14:textId="0EB3D66E" w:rsidR="0080533F" w:rsidRPr="00A678F4" w:rsidRDefault="0080533F" w:rsidP="0080533F">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r>
        <w:rPr>
          <w:rFonts w:ascii="Verdana" w:hAnsi="Verdana"/>
          <w:color w:val="41525C"/>
          <w:sz w:val="18"/>
          <w:szCs w:val="18"/>
        </w:rPr>
        <w:t xml:space="preserve"> EE. UU.</w:t>
      </w:r>
    </w:p>
    <w:p w14:paraId="6AE2F435" w14:textId="77777777" w:rsidR="0080533F" w:rsidRPr="00A678F4" w:rsidRDefault="0080533F" w:rsidP="0080533F">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1FBF7337" w14:textId="77777777" w:rsidR="0080533F" w:rsidRPr="00A44D46" w:rsidRDefault="00245E5F" w:rsidP="0080533F">
      <w:pPr>
        <w:spacing w:line="276" w:lineRule="auto"/>
        <w:rPr>
          <w:rFonts w:ascii="Verdana" w:hAnsi="Verdana"/>
          <w:b/>
          <w:color w:val="41525C"/>
          <w:sz w:val="18"/>
          <w:szCs w:val="18"/>
          <w:u w:val="single"/>
        </w:rPr>
      </w:pPr>
      <w:hyperlink r:id="rId11" w:history="1">
        <w:r w:rsidR="0080533F">
          <w:rPr>
            <w:rStyle w:val="Hyperlink"/>
            <w:rFonts w:ascii="Verdana" w:hAnsi="Verdana"/>
            <w:b/>
            <w:color w:val="41525C"/>
            <w:sz w:val="18"/>
            <w:szCs w:val="18"/>
          </w:rPr>
          <w:t>www.manitowoc.com</w:t>
        </w:r>
      </w:hyperlink>
      <w:r w:rsidR="0080533F">
        <w:rPr>
          <w:rStyle w:val="Hyperlink"/>
          <w:rFonts w:ascii="Verdana" w:hAnsi="Verdana"/>
          <w:b/>
          <w:color w:val="41525C"/>
          <w:sz w:val="18"/>
          <w:szCs w:val="18"/>
        </w:rPr>
        <w:softHyphen/>
      </w:r>
    </w:p>
    <w:p w14:paraId="568FF411" w14:textId="77777777" w:rsidR="002413D8" w:rsidRDefault="002413D8" w:rsidP="002413D8">
      <w:pPr>
        <w:spacing w:line="276" w:lineRule="auto"/>
        <w:rPr>
          <w:rFonts w:ascii="Verdana" w:hAnsi="Verdana"/>
          <w:b/>
          <w:color w:val="41525C"/>
          <w:sz w:val="18"/>
          <w:szCs w:val="18"/>
          <w:u w:val="single"/>
        </w:rPr>
      </w:pPr>
    </w:p>
    <w:p w14:paraId="6B931913" w14:textId="77777777" w:rsidR="002413D8" w:rsidRPr="006A69FE" w:rsidRDefault="002413D8" w:rsidP="00A678F4">
      <w:pPr>
        <w:tabs>
          <w:tab w:val="left" w:pos="1055"/>
          <w:tab w:val="left" w:pos="4111"/>
          <w:tab w:val="left" w:pos="5812"/>
          <w:tab w:val="left" w:pos="7371"/>
        </w:tabs>
        <w:spacing w:line="276" w:lineRule="auto"/>
        <w:jc w:val="center"/>
        <w:rPr>
          <w:rFonts w:ascii="Georgia" w:hAnsi="Georgia" w:cs="Georgia"/>
          <w:sz w:val="21"/>
          <w:szCs w:val="21"/>
        </w:rPr>
      </w:pPr>
    </w:p>
    <w:sectPr w:rsidR="002413D8" w:rsidRPr="006A69FE"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336CE" w14:textId="77777777" w:rsidR="00245E5F" w:rsidRDefault="00245E5F">
      <w:r>
        <w:separator/>
      </w:r>
    </w:p>
  </w:endnote>
  <w:endnote w:type="continuationSeparator" w:id="0">
    <w:p w14:paraId="68EDCD00" w14:textId="77777777" w:rsidR="00245E5F" w:rsidRDefault="0024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40D5D" w14:textId="77777777" w:rsidR="00245E5F" w:rsidRDefault="00245E5F">
      <w:r>
        <w:separator/>
      </w:r>
    </w:p>
  </w:footnote>
  <w:footnote w:type="continuationSeparator" w:id="0">
    <w:p w14:paraId="4153BA0B" w14:textId="77777777" w:rsidR="00245E5F" w:rsidRDefault="00245E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9FAE9" w14:textId="77777777" w:rsidR="0029148E" w:rsidRPr="00164A29" w:rsidRDefault="0029148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presenta la MLC300 con mayor versatilidad</w:t>
    </w:r>
  </w:p>
  <w:p w14:paraId="767BA8D7" w14:textId="33CE2CBA" w:rsidR="0029148E" w:rsidRPr="00164A29" w:rsidRDefault="00A3152E" w:rsidP="00163032">
    <w:pPr>
      <w:spacing w:line="276" w:lineRule="auto"/>
      <w:rPr>
        <w:rFonts w:ascii="Verdana" w:hAnsi="Verdana"/>
        <w:color w:val="ED1C2A"/>
        <w:sz w:val="18"/>
        <w:szCs w:val="18"/>
      </w:rPr>
    </w:pPr>
    <w:r>
      <w:rPr>
        <w:rFonts w:ascii="Verdana" w:hAnsi="Verdana"/>
        <w:color w:val="41525C"/>
        <w:sz w:val="18"/>
      </w:rPr>
      <w:t>2</w:t>
    </w:r>
    <w:r w:rsidR="0029148E">
      <w:rPr>
        <w:rFonts w:ascii="Verdana" w:hAnsi="Verdana"/>
        <w:color w:val="41525C"/>
        <w:sz w:val="18"/>
      </w:rPr>
      <w:t xml:space="preserve"> de marzo de 2017</w:t>
    </w:r>
  </w:p>
  <w:p w14:paraId="0109250A" w14:textId="77777777" w:rsidR="0029148E" w:rsidRPr="003E31C0" w:rsidRDefault="0029148E" w:rsidP="00163032">
    <w:pPr>
      <w:spacing w:line="276" w:lineRule="auto"/>
      <w:rPr>
        <w:rFonts w:ascii="Verdana" w:hAnsi="Verdana"/>
        <w:sz w:val="16"/>
        <w:szCs w:val="16"/>
      </w:rPr>
    </w:pPr>
  </w:p>
  <w:p w14:paraId="56DE9785" w14:textId="77777777" w:rsidR="0029148E" w:rsidRDefault="002914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CB4"/>
    <w:rsid w:val="00002133"/>
    <w:rsid w:val="00003D82"/>
    <w:rsid w:val="00005F74"/>
    <w:rsid w:val="00007FF2"/>
    <w:rsid w:val="000149F7"/>
    <w:rsid w:val="000172C9"/>
    <w:rsid w:val="00022E8A"/>
    <w:rsid w:val="000306B2"/>
    <w:rsid w:val="00030BEE"/>
    <w:rsid w:val="00033614"/>
    <w:rsid w:val="00033A4B"/>
    <w:rsid w:val="00034578"/>
    <w:rsid w:val="00035589"/>
    <w:rsid w:val="00035822"/>
    <w:rsid w:val="00042F47"/>
    <w:rsid w:val="00046012"/>
    <w:rsid w:val="0005150F"/>
    <w:rsid w:val="00051CCE"/>
    <w:rsid w:val="00051F75"/>
    <w:rsid w:val="00052603"/>
    <w:rsid w:val="0005270E"/>
    <w:rsid w:val="00053C35"/>
    <w:rsid w:val="00062831"/>
    <w:rsid w:val="00065A26"/>
    <w:rsid w:val="00070802"/>
    <w:rsid w:val="0007116F"/>
    <w:rsid w:val="000713E1"/>
    <w:rsid w:val="00071EEB"/>
    <w:rsid w:val="000725FB"/>
    <w:rsid w:val="00075EDE"/>
    <w:rsid w:val="000819C1"/>
    <w:rsid w:val="0008353F"/>
    <w:rsid w:val="00083F23"/>
    <w:rsid w:val="00085502"/>
    <w:rsid w:val="00085F09"/>
    <w:rsid w:val="000869EE"/>
    <w:rsid w:val="000A000F"/>
    <w:rsid w:val="000A4FA8"/>
    <w:rsid w:val="000A6A98"/>
    <w:rsid w:val="000A75DA"/>
    <w:rsid w:val="000B100B"/>
    <w:rsid w:val="000B168F"/>
    <w:rsid w:val="000B374E"/>
    <w:rsid w:val="000B4AA8"/>
    <w:rsid w:val="000B4D86"/>
    <w:rsid w:val="000C0256"/>
    <w:rsid w:val="000C672F"/>
    <w:rsid w:val="000D0B43"/>
    <w:rsid w:val="000D5C73"/>
    <w:rsid w:val="000D7310"/>
    <w:rsid w:val="000E0422"/>
    <w:rsid w:val="000E1612"/>
    <w:rsid w:val="000E39AE"/>
    <w:rsid w:val="000E44DA"/>
    <w:rsid w:val="000E58A4"/>
    <w:rsid w:val="000E6C0F"/>
    <w:rsid w:val="000E7485"/>
    <w:rsid w:val="000F1895"/>
    <w:rsid w:val="000F29AF"/>
    <w:rsid w:val="000F5526"/>
    <w:rsid w:val="000F5735"/>
    <w:rsid w:val="000F5D22"/>
    <w:rsid w:val="000F652F"/>
    <w:rsid w:val="00105BEB"/>
    <w:rsid w:val="001112E6"/>
    <w:rsid w:val="00120199"/>
    <w:rsid w:val="00120BC3"/>
    <w:rsid w:val="001222FA"/>
    <w:rsid w:val="00127FF4"/>
    <w:rsid w:val="00132327"/>
    <w:rsid w:val="00133817"/>
    <w:rsid w:val="00134A73"/>
    <w:rsid w:val="00134CDF"/>
    <w:rsid w:val="00137100"/>
    <w:rsid w:val="00137E4C"/>
    <w:rsid w:val="00141124"/>
    <w:rsid w:val="00141C80"/>
    <w:rsid w:val="001421D9"/>
    <w:rsid w:val="00150CEC"/>
    <w:rsid w:val="00150CF2"/>
    <w:rsid w:val="00151D19"/>
    <w:rsid w:val="00151EA8"/>
    <w:rsid w:val="00155AE5"/>
    <w:rsid w:val="00156507"/>
    <w:rsid w:val="00163032"/>
    <w:rsid w:val="00164180"/>
    <w:rsid w:val="00164766"/>
    <w:rsid w:val="00164A29"/>
    <w:rsid w:val="00165D47"/>
    <w:rsid w:val="00167918"/>
    <w:rsid w:val="00171709"/>
    <w:rsid w:val="00172238"/>
    <w:rsid w:val="0017270E"/>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0346"/>
    <w:rsid w:val="001B1687"/>
    <w:rsid w:val="001B2EC3"/>
    <w:rsid w:val="001B54D3"/>
    <w:rsid w:val="001C0797"/>
    <w:rsid w:val="001C1EAE"/>
    <w:rsid w:val="001C3608"/>
    <w:rsid w:val="001C6DCC"/>
    <w:rsid w:val="001D046B"/>
    <w:rsid w:val="001D3D71"/>
    <w:rsid w:val="001D5B76"/>
    <w:rsid w:val="001D7896"/>
    <w:rsid w:val="001D7FC6"/>
    <w:rsid w:val="001E23EF"/>
    <w:rsid w:val="001E4088"/>
    <w:rsid w:val="001E4DB6"/>
    <w:rsid w:val="001E7EB7"/>
    <w:rsid w:val="001F0832"/>
    <w:rsid w:val="001F2A82"/>
    <w:rsid w:val="001F452D"/>
    <w:rsid w:val="001F50B3"/>
    <w:rsid w:val="001F544B"/>
    <w:rsid w:val="001F7754"/>
    <w:rsid w:val="0020131D"/>
    <w:rsid w:val="00201646"/>
    <w:rsid w:val="0020233A"/>
    <w:rsid w:val="00207B61"/>
    <w:rsid w:val="00210135"/>
    <w:rsid w:val="0022144C"/>
    <w:rsid w:val="00222A4F"/>
    <w:rsid w:val="002235B3"/>
    <w:rsid w:val="0022453C"/>
    <w:rsid w:val="002252D3"/>
    <w:rsid w:val="00231F98"/>
    <w:rsid w:val="002329DB"/>
    <w:rsid w:val="00235157"/>
    <w:rsid w:val="002413D8"/>
    <w:rsid w:val="00242BFB"/>
    <w:rsid w:val="002436CE"/>
    <w:rsid w:val="00245E5F"/>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48E"/>
    <w:rsid w:val="00291708"/>
    <w:rsid w:val="002942F9"/>
    <w:rsid w:val="00294477"/>
    <w:rsid w:val="00294C07"/>
    <w:rsid w:val="0029600C"/>
    <w:rsid w:val="002973F4"/>
    <w:rsid w:val="0029799F"/>
    <w:rsid w:val="002A57B3"/>
    <w:rsid w:val="002A6CBE"/>
    <w:rsid w:val="002A730A"/>
    <w:rsid w:val="002B03DA"/>
    <w:rsid w:val="002B11B7"/>
    <w:rsid w:val="002B36D3"/>
    <w:rsid w:val="002B3CD6"/>
    <w:rsid w:val="002B4131"/>
    <w:rsid w:val="002B661D"/>
    <w:rsid w:val="002B7BAC"/>
    <w:rsid w:val="002C13C5"/>
    <w:rsid w:val="002C1B6C"/>
    <w:rsid w:val="002C2D46"/>
    <w:rsid w:val="002C3754"/>
    <w:rsid w:val="002C40E9"/>
    <w:rsid w:val="002C5845"/>
    <w:rsid w:val="002C7BF8"/>
    <w:rsid w:val="002D1959"/>
    <w:rsid w:val="002D1C44"/>
    <w:rsid w:val="002D2754"/>
    <w:rsid w:val="002D438A"/>
    <w:rsid w:val="002E2756"/>
    <w:rsid w:val="002E41F1"/>
    <w:rsid w:val="002E61D0"/>
    <w:rsid w:val="002E793B"/>
    <w:rsid w:val="002F48A7"/>
    <w:rsid w:val="002F6C29"/>
    <w:rsid w:val="003028C8"/>
    <w:rsid w:val="0030349B"/>
    <w:rsid w:val="00303BD6"/>
    <w:rsid w:val="003045AE"/>
    <w:rsid w:val="0030501A"/>
    <w:rsid w:val="003077F1"/>
    <w:rsid w:val="00311F6C"/>
    <w:rsid w:val="00313457"/>
    <w:rsid w:val="00313877"/>
    <w:rsid w:val="00321840"/>
    <w:rsid w:val="00326A6B"/>
    <w:rsid w:val="00327916"/>
    <w:rsid w:val="00331D32"/>
    <w:rsid w:val="00337101"/>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74305"/>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B7D94"/>
    <w:rsid w:val="003C0916"/>
    <w:rsid w:val="003C1DDA"/>
    <w:rsid w:val="003C1E7D"/>
    <w:rsid w:val="003C2EB4"/>
    <w:rsid w:val="003C4A2A"/>
    <w:rsid w:val="003C60EB"/>
    <w:rsid w:val="003C6629"/>
    <w:rsid w:val="003C7E93"/>
    <w:rsid w:val="003D0484"/>
    <w:rsid w:val="003D0A5C"/>
    <w:rsid w:val="003D3FBA"/>
    <w:rsid w:val="003D7129"/>
    <w:rsid w:val="003E0C3B"/>
    <w:rsid w:val="003E31C0"/>
    <w:rsid w:val="003E5AA8"/>
    <w:rsid w:val="003E68ED"/>
    <w:rsid w:val="003F46E7"/>
    <w:rsid w:val="003F5873"/>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A9"/>
    <w:rsid w:val="004442D3"/>
    <w:rsid w:val="00450286"/>
    <w:rsid w:val="00454463"/>
    <w:rsid w:val="004578B3"/>
    <w:rsid w:val="00461F06"/>
    <w:rsid w:val="004625E6"/>
    <w:rsid w:val="00474F44"/>
    <w:rsid w:val="00484BAD"/>
    <w:rsid w:val="00485E2A"/>
    <w:rsid w:val="00487D4C"/>
    <w:rsid w:val="004903A6"/>
    <w:rsid w:val="004945D1"/>
    <w:rsid w:val="004972C8"/>
    <w:rsid w:val="004A02FE"/>
    <w:rsid w:val="004A1E08"/>
    <w:rsid w:val="004A33F8"/>
    <w:rsid w:val="004A38AB"/>
    <w:rsid w:val="004A3BA1"/>
    <w:rsid w:val="004A4AE2"/>
    <w:rsid w:val="004A6360"/>
    <w:rsid w:val="004A741B"/>
    <w:rsid w:val="004B2A89"/>
    <w:rsid w:val="004B4DC2"/>
    <w:rsid w:val="004B6785"/>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2876"/>
    <w:rsid w:val="00506C1D"/>
    <w:rsid w:val="00511EAA"/>
    <w:rsid w:val="005127AF"/>
    <w:rsid w:val="00512975"/>
    <w:rsid w:val="00515556"/>
    <w:rsid w:val="005158D6"/>
    <w:rsid w:val="00516DB2"/>
    <w:rsid w:val="00517806"/>
    <w:rsid w:val="00520C88"/>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1552"/>
    <w:rsid w:val="00583F66"/>
    <w:rsid w:val="00587442"/>
    <w:rsid w:val="0058771D"/>
    <w:rsid w:val="00590F0C"/>
    <w:rsid w:val="00592145"/>
    <w:rsid w:val="00593221"/>
    <w:rsid w:val="005938BB"/>
    <w:rsid w:val="0059490C"/>
    <w:rsid w:val="00594CB1"/>
    <w:rsid w:val="0059736A"/>
    <w:rsid w:val="00597423"/>
    <w:rsid w:val="00597D82"/>
    <w:rsid w:val="005A55B5"/>
    <w:rsid w:val="005B5CF5"/>
    <w:rsid w:val="005B61A5"/>
    <w:rsid w:val="005C00AA"/>
    <w:rsid w:val="005C6A7F"/>
    <w:rsid w:val="005D03F2"/>
    <w:rsid w:val="005D26BF"/>
    <w:rsid w:val="005D3D0D"/>
    <w:rsid w:val="005D49EE"/>
    <w:rsid w:val="005D6DF5"/>
    <w:rsid w:val="005E160F"/>
    <w:rsid w:val="005E42C1"/>
    <w:rsid w:val="005E5E87"/>
    <w:rsid w:val="005F14FE"/>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1DBB"/>
    <w:rsid w:val="0064509F"/>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54E3"/>
    <w:rsid w:val="006C6793"/>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05C"/>
    <w:rsid w:val="007615C1"/>
    <w:rsid w:val="00764BAE"/>
    <w:rsid w:val="0076520B"/>
    <w:rsid w:val="00765EB1"/>
    <w:rsid w:val="00766D7F"/>
    <w:rsid w:val="00774A4D"/>
    <w:rsid w:val="00776536"/>
    <w:rsid w:val="00777ABC"/>
    <w:rsid w:val="00785AB3"/>
    <w:rsid w:val="0078732C"/>
    <w:rsid w:val="00787627"/>
    <w:rsid w:val="007940A4"/>
    <w:rsid w:val="00794896"/>
    <w:rsid w:val="007959F4"/>
    <w:rsid w:val="0079659E"/>
    <w:rsid w:val="007A083A"/>
    <w:rsid w:val="007A23DF"/>
    <w:rsid w:val="007A3B5C"/>
    <w:rsid w:val="007A4178"/>
    <w:rsid w:val="007A6FDC"/>
    <w:rsid w:val="007B1434"/>
    <w:rsid w:val="007B2213"/>
    <w:rsid w:val="007B6CB5"/>
    <w:rsid w:val="007B6DC1"/>
    <w:rsid w:val="007C4F42"/>
    <w:rsid w:val="007C5573"/>
    <w:rsid w:val="007D02CF"/>
    <w:rsid w:val="007D29F4"/>
    <w:rsid w:val="007D2B04"/>
    <w:rsid w:val="007D376C"/>
    <w:rsid w:val="007D4A75"/>
    <w:rsid w:val="007D6854"/>
    <w:rsid w:val="007E03EE"/>
    <w:rsid w:val="007E3D38"/>
    <w:rsid w:val="007F4EB6"/>
    <w:rsid w:val="007F740C"/>
    <w:rsid w:val="008008EB"/>
    <w:rsid w:val="00801325"/>
    <w:rsid w:val="00801B89"/>
    <w:rsid w:val="00803E17"/>
    <w:rsid w:val="00804B60"/>
    <w:rsid w:val="0080533F"/>
    <w:rsid w:val="008067FE"/>
    <w:rsid w:val="00807649"/>
    <w:rsid w:val="00810274"/>
    <w:rsid w:val="00810B8D"/>
    <w:rsid w:val="008112AF"/>
    <w:rsid w:val="00813770"/>
    <w:rsid w:val="008159D1"/>
    <w:rsid w:val="00821058"/>
    <w:rsid w:val="0082404B"/>
    <w:rsid w:val="00831A87"/>
    <w:rsid w:val="00833600"/>
    <w:rsid w:val="00841023"/>
    <w:rsid w:val="00842E4F"/>
    <w:rsid w:val="00843B90"/>
    <w:rsid w:val="00843BF2"/>
    <w:rsid w:val="008440FA"/>
    <w:rsid w:val="00845647"/>
    <w:rsid w:val="00852B11"/>
    <w:rsid w:val="00853112"/>
    <w:rsid w:val="0085558D"/>
    <w:rsid w:val="008573FF"/>
    <w:rsid w:val="00861267"/>
    <w:rsid w:val="008775DC"/>
    <w:rsid w:val="00877E0E"/>
    <w:rsid w:val="00882D97"/>
    <w:rsid w:val="008831B3"/>
    <w:rsid w:val="00885C64"/>
    <w:rsid w:val="00886E84"/>
    <w:rsid w:val="0089186C"/>
    <w:rsid w:val="00894B77"/>
    <w:rsid w:val="008951E1"/>
    <w:rsid w:val="00897AB9"/>
    <w:rsid w:val="008A1197"/>
    <w:rsid w:val="008A2386"/>
    <w:rsid w:val="008A58A9"/>
    <w:rsid w:val="008A68DB"/>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2F6C"/>
    <w:rsid w:val="009344AF"/>
    <w:rsid w:val="00940C11"/>
    <w:rsid w:val="00941092"/>
    <w:rsid w:val="00941D0A"/>
    <w:rsid w:val="009428AF"/>
    <w:rsid w:val="00944B7D"/>
    <w:rsid w:val="009466E7"/>
    <w:rsid w:val="00952341"/>
    <w:rsid w:val="00952C05"/>
    <w:rsid w:val="0095692B"/>
    <w:rsid w:val="0095733C"/>
    <w:rsid w:val="00960384"/>
    <w:rsid w:val="00963664"/>
    <w:rsid w:val="00964261"/>
    <w:rsid w:val="00966644"/>
    <w:rsid w:val="00975762"/>
    <w:rsid w:val="00976361"/>
    <w:rsid w:val="009768A8"/>
    <w:rsid w:val="00976A5C"/>
    <w:rsid w:val="00976FBC"/>
    <w:rsid w:val="00981869"/>
    <w:rsid w:val="00984766"/>
    <w:rsid w:val="009873B8"/>
    <w:rsid w:val="0098774E"/>
    <w:rsid w:val="00987A35"/>
    <w:rsid w:val="00987B7B"/>
    <w:rsid w:val="009904AF"/>
    <w:rsid w:val="009964E8"/>
    <w:rsid w:val="009A3225"/>
    <w:rsid w:val="009A6E06"/>
    <w:rsid w:val="009A75BC"/>
    <w:rsid w:val="009B0F2D"/>
    <w:rsid w:val="009B1F21"/>
    <w:rsid w:val="009B5056"/>
    <w:rsid w:val="009C2054"/>
    <w:rsid w:val="009C79E2"/>
    <w:rsid w:val="009C7A84"/>
    <w:rsid w:val="009E0C7A"/>
    <w:rsid w:val="009E2674"/>
    <w:rsid w:val="009E4B9E"/>
    <w:rsid w:val="009E5B58"/>
    <w:rsid w:val="009E68C0"/>
    <w:rsid w:val="009E73DE"/>
    <w:rsid w:val="009E7DC0"/>
    <w:rsid w:val="009E7E4A"/>
    <w:rsid w:val="009F0D22"/>
    <w:rsid w:val="009F5917"/>
    <w:rsid w:val="00A01B2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152E"/>
    <w:rsid w:val="00A32013"/>
    <w:rsid w:val="00A32958"/>
    <w:rsid w:val="00A32CAF"/>
    <w:rsid w:val="00A34303"/>
    <w:rsid w:val="00A346B3"/>
    <w:rsid w:val="00A34856"/>
    <w:rsid w:val="00A34887"/>
    <w:rsid w:val="00A350F5"/>
    <w:rsid w:val="00A35233"/>
    <w:rsid w:val="00A371E2"/>
    <w:rsid w:val="00A42B30"/>
    <w:rsid w:val="00A44D46"/>
    <w:rsid w:val="00A450FE"/>
    <w:rsid w:val="00A5001E"/>
    <w:rsid w:val="00A54E36"/>
    <w:rsid w:val="00A5689E"/>
    <w:rsid w:val="00A569E1"/>
    <w:rsid w:val="00A574EE"/>
    <w:rsid w:val="00A60880"/>
    <w:rsid w:val="00A6160A"/>
    <w:rsid w:val="00A63D49"/>
    <w:rsid w:val="00A64030"/>
    <w:rsid w:val="00A65FAA"/>
    <w:rsid w:val="00A678F4"/>
    <w:rsid w:val="00A70CA6"/>
    <w:rsid w:val="00A71F99"/>
    <w:rsid w:val="00A737A4"/>
    <w:rsid w:val="00A75EFD"/>
    <w:rsid w:val="00A777B7"/>
    <w:rsid w:val="00A83243"/>
    <w:rsid w:val="00A832B3"/>
    <w:rsid w:val="00A8349A"/>
    <w:rsid w:val="00A84002"/>
    <w:rsid w:val="00A86E97"/>
    <w:rsid w:val="00A87A56"/>
    <w:rsid w:val="00A97AE0"/>
    <w:rsid w:val="00AA2E6E"/>
    <w:rsid w:val="00AA392F"/>
    <w:rsid w:val="00AA709B"/>
    <w:rsid w:val="00AA7D34"/>
    <w:rsid w:val="00AB46AD"/>
    <w:rsid w:val="00AC04C2"/>
    <w:rsid w:val="00AC16D5"/>
    <w:rsid w:val="00AC287D"/>
    <w:rsid w:val="00AC302E"/>
    <w:rsid w:val="00AC5D6A"/>
    <w:rsid w:val="00AD1308"/>
    <w:rsid w:val="00AD24CA"/>
    <w:rsid w:val="00AD7B0D"/>
    <w:rsid w:val="00AE10DA"/>
    <w:rsid w:val="00AE392A"/>
    <w:rsid w:val="00AE45D4"/>
    <w:rsid w:val="00AE4CD1"/>
    <w:rsid w:val="00AE572F"/>
    <w:rsid w:val="00AE5856"/>
    <w:rsid w:val="00AF17EC"/>
    <w:rsid w:val="00AF21CF"/>
    <w:rsid w:val="00AF488C"/>
    <w:rsid w:val="00AF4D8F"/>
    <w:rsid w:val="00B00332"/>
    <w:rsid w:val="00B00BC1"/>
    <w:rsid w:val="00B04E31"/>
    <w:rsid w:val="00B059EE"/>
    <w:rsid w:val="00B062E9"/>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26AC"/>
    <w:rsid w:val="00B747DC"/>
    <w:rsid w:val="00B82DC3"/>
    <w:rsid w:val="00B83938"/>
    <w:rsid w:val="00B84C4F"/>
    <w:rsid w:val="00B84E34"/>
    <w:rsid w:val="00B8754B"/>
    <w:rsid w:val="00B915CA"/>
    <w:rsid w:val="00B92DA8"/>
    <w:rsid w:val="00B945AA"/>
    <w:rsid w:val="00B9539B"/>
    <w:rsid w:val="00BA3961"/>
    <w:rsid w:val="00BA5B61"/>
    <w:rsid w:val="00BA60A7"/>
    <w:rsid w:val="00BB0B7F"/>
    <w:rsid w:val="00BB324D"/>
    <w:rsid w:val="00BB3943"/>
    <w:rsid w:val="00BB401C"/>
    <w:rsid w:val="00BB4613"/>
    <w:rsid w:val="00BB5669"/>
    <w:rsid w:val="00BC011A"/>
    <w:rsid w:val="00BC1768"/>
    <w:rsid w:val="00BC2353"/>
    <w:rsid w:val="00BC7428"/>
    <w:rsid w:val="00BD7311"/>
    <w:rsid w:val="00BE095D"/>
    <w:rsid w:val="00BE0999"/>
    <w:rsid w:val="00BE0CA2"/>
    <w:rsid w:val="00BE2C4C"/>
    <w:rsid w:val="00BE5624"/>
    <w:rsid w:val="00BE5DAB"/>
    <w:rsid w:val="00BE6A27"/>
    <w:rsid w:val="00BF3E61"/>
    <w:rsid w:val="00BF4FD6"/>
    <w:rsid w:val="00C061BC"/>
    <w:rsid w:val="00C065CD"/>
    <w:rsid w:val="00C06AD9"/>
    <w:rsid w:val="00C06F98"/>
    <w:rsid w:val="00C07290"/>
    <w:rsid w:val="00C07A6C"/>
    <w:rsid w:val="00C118B0"/>
    <w:rsid w:val="00C16962"/>
    <w:rsid w:val="00C16977"/>
    <w:rsid w:val="00C211D8"/>
    <w:rsid w:val="00C21A34"/>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11CD"/>
    <w:rsid w:val="00C82C60"/>
    <w:rsid w:val="00C842CB"/>
    <w:rsid w:val="00C85503"/>
    <w:rsid w:val="00C85965"/>
    <w:rsid w:val="00C86F4F"/>
    <w:rsid w:val="00C8750C"/>
    <w:rsid w:val="00C91672"/>
    <w:rsid w:val="00C94C6D"/>
    <w:rsid w:val="00CA0621"/>
    <w:rsid w:val="00CA0EED"/>
    <w:rsid w:val="00CA2345"/>
    <w:rsid w:val="00CA3F5E"/>
    <w:rsid w:val="00CA72F1"/>
    <w:rsid w:val="00CC06CB"/>
    <w:rsid w:val="00CC1C20"/>
    <w:rsid w:val="00CC2CBB"/>
    <w:rsid w:val="00CC2FF5"/>
    <w:rsid w:val="00CC3FEF"/>
    <w:rsid w:val="00CC709D"/>
    <w:rsid w:val="00CC789C"/>
    <w:rsid w:val="00CD1858"/>
    <w:rsid w:val="00CD42E1"/>
    <w:rsid w:val="00CD704B"/>
    <w:rsid w:val="00CE01A8"/>
    <w:rsid w:val="00CE1D87"/>
    <w:rsid w:val="00CE3868"/>
    <w:rsid w:val="00CF0D73"/>
    <w:rsid w:val="00CF2CA8"/>
    <w:rsid w:val="00CF33DF"/>
    <w:rsid w:val="00CF437D"/>
    <w:rsid w:val="00D02221"/>
    <w:rsid w:val="00D02798"/>
    <w:rsid w:val="00D03322"/>
    <w:rsid w:val="00D040E0"/>
    <w:rsid w:val="00D061B2"/>
    <w:rsid w:val="00D06590"/>
    <w:rsid w:val="00D1149C"/>
    <w:rsid w:val="00D117A2"/>
    <w:rsid w:val="00D12E75"/>
    <w:rsid w:val="00D147B4"/>
    <w:rsid w:val="00D15534"/>
    <w:rsid w:val="00D200A5"/>
    <w:rsid w:val="00D20EC5"/>
    <w:rsid w:val="00D22203"/>
    <w:rsid w:val="00D22C9C"/>
    <w:rsid w:val="00D252AC"/>
    <w:rsid w:val="00D26D6B"/>
    <w:rsid w:val="00D342AB"/>
    <w:rsid w:val="00D34441"/>
    <w:rsid w:val="00D34B1D"/>
    <w:rsid w:val="00D367DF"/>
    <w:rsid w:val="00D36AB0"/>
    <w:rsid w:val="00D376BF"/>
    <w:rsid w:val="00D4675D"/>
    <w:rsid w:val="00D50638"/>
    <w:rsid w:val="00D51A4E"/>
    <w:rsid w:val="00D52869"/>
    <w:rsid w:val="00D535EA"/>
    <w:rsid w:val="00D54980"/>
    <w:rsid w:val="00D60BB2"/>
    <w:rsid w:val="00D620D6"/>
    <w:rsid w:val="00D6296F"/>
    <w:rsid w:val="00D6323E"/>
    <w:rsid w:val="00D642F8"/>
    <w:rsid w:val="00D7005C"/>
    <w:rsid w:val="00D70AE7"/>
    <w:rsid w:val="00D711AF"/>
    <w:rsid w:val="00D73713"/>
    <w:rsid w:val="00D8087A"/>
    <w:rsid w:val="00D90701"/>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2D3A"/>
    <w:rsid w:val="00DF37DC"/>
    <w:rsid w:val="00DF3AF2"/>
    <w:rsid w:val="00DF5F16"/>
    <w:rsid w:val="00DF7E6D"/>
    <w:rsid w:val="00E02BFD"/>
    <w:rsid w:val="00E06736"/>
    <w:rsid w:val="00E10B40"/>
    <w:rsid w:val="00E144EC"/>
    <w:rsid w:val="00E21933"/>
    <w:rsid w:val="00E23205"/>
    <w:rsid w:val="00E267FA"/>
    <w:rsid w:val="00E274B0"/>
    <w:rsid w:val="00E40FD9"/>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4331"/>
    <w:rsid w:val="00E95A66"/>
    <w:rsid w:val="00E96C1D"/>
    <w:rsid w:val="00EA0678"/>
    <w:rsid w:val="00EA160C"/>
    <w:rsid w:val="00EA2CEB"/>
    <w:rsid w:val="00EA47EA"/>
    <w:rsid w:val="00EA526E"/>
    <w:rsid w:val="00EA71DE"/>
    <w:rsid w:val="00EB0037"/>
    <w:rsid w:val="00EC0873"/>
    <w:rsid w:val="00EC17D1"/>
    <w:rsid w:val="00EC4418"/>
    <w:rsid w:val="00EC671B"/>
    <w:rsid w:val="00EC6A0F"/>
    <w:rsid w:val="00EC73D1"/>
    <w:rsid w:val="00EC7653"/>
    <w:rsid w:val="00ED0A38"/>
    <w:rsid w:val="00ED11A8"/>
    <w:rsid w:val="00ED1AF3"/>
    <w:rsid w:val="00ED28A2"/>
    <w:rsid w:val="00ED3A8D"/>
    <w:rsid w:val="00ED78D7"/>
    <w:rsid w:val="00ED7CE3"/>
    <w:rsid w:val="00EE0110"/>
    <w:rsid w:val="00EE09B9"/>
    <w:rsid w:val="00EE1172"/>
    <w:rsid w:val="00EE3D7D"/>
    <w:rsid w:val="00EE4A40"/>
    <w:rsid w:val="00EF2F81"/>
    <w:rsid w:val="00EF6F15"/>
    <w:rsid w:val="00F01D40"/>
    <w:rsid w:val="00F05CD5"/>
    <w:rsid w:val="00F1425A"/>
    <w:rsid w:val="00F16E0F"/>
    <w:rsid w:val="00F1702B"/>
    <w:rsid w:val="00F179B3"/>
    <w:rsid w:val="00F17E27"/>
    <w:rsid w:val="00F21D82"/>
    <w:rsid w:val="00F24857"/>
    <w:rsid w:val="00F24CBA"/>
    <w:rsid w:val="00F30D0A"/>
    <w:rsid w:val="00F36575"/>
    <w:rsid w:val="00F3708C"/>
    <w:rsid w:val="00F41249"/>
    <w:rsid w:val="00F41C55"/>
    <w:rsid w:val="00F44DCA"/>
    <w:rsid w:val="00F4696A"/>
    <w:rsid w:val="00F527A5"/>
    <w:rsid w:val="00F56577"/>
    <w:rsid w:val="00F56C2B"/>
    <w:rsid w:val="00F63FE1"/>
    <w:rsid w:val="00F653E0"/>
    <w:rsid w:val="00F6670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F05"/>
    <w:rsid w:val="00FD1A2F"/>
    <w:rsid w:val="00FD544B"/>
    <w:rsid w:val="00FE4B51"/>
    <w:rsid w:val="00FE4B5A"/>
    <w:rsid w:val="00FE57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2780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91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54417214">
      <w:bodyDiv w:val="1"/>
      <w:marLeft w:val="0"/>
      <w:marRight w:val="0"/>
      <w:marTop w:val="0"/>
      <w:marBottom w:val="0"/>
      <w:divBdr>
        <w:top w:val="none" w:sz="0" w:space="0" w:color="auto"/>
        <w:left w:val="none" w:sz="0" w:space="0" w:color="auto"/>
        <w:bottom w:val="none" w:sz="0" w:space="0" w:color="auto"/>
        <w:right w:val="none" w:sz="0" w:space="0" w:color="auto"/>
      </w:divBdr>
    </w:div>
    <w:div w:id="29105875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33116844">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65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F9E6-A57C-F642-B19F-B4AA48FE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953</Words>
  <Characters>5436</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3</cp:revision>
  <cp:lastPrinted>2014-03-31T14:21:00Z</cp:lastPrinted>
  <dcterms:created xsi:type="dcterms:W3CDTF">2017-03-01T21:05:00Z</dcterms:created>
  <dcterms:modified xsi:type="dcterms:W3CDTF">2017-03-01T21:24:00Z</dcterms:modified>
</cp:coreProperties>
</file>