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F8D15A" w14:textId="77777777" w:rsidR="00EE66C2" w:rsidRPr="00573CC5" w:rsidRDefault="000B06C3" w:rsidP="00EE66C2">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7031DFD0" wp14:editId="44641E2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23844808" w14:textId="77777777" w:rsidR="00EE66C2" w:rsidRPr="00573CC5" w:rsidRDefault="00E665F1" w:rsidP="00EE66C2">
      <w:pPr>
        <w:jc w:val="right"/>
        <w:rPr>
          <w:rFonts w:ascii="Verdana" w:hAnsi="Verdana"/>
          <w:color w:val="ED1C2A"/>
          <w:sz w:val="18"/>
          <w:szCs w:val="18"/>
        </w:rPr>
      </w:pPr>
      <w:r>
        <w:rPr>
          <w:rFonts w:ascii="Verdana" w:hAnsi="Verdana"/>
          <w:color w:val="41525C"/>
          <w:sz w:val="18"/>
        </w:rPr>
        <w:t>7 de marzo de 2017</w:t>
      </w:r>
    </w:p>
    <w:p w14:paraId="24CC28AF" w14:textId="77777777" w:rsidR="00EE66C2" w:rsidRPr="00BE22CD" w:rsidRDefault="00EE66C2" w:rsidP="00BE22CD">
      <w:pPr>
        <w:spacing w:line="276" w:lineRule="auto"/>
        <w:rPr>
          <w:rFonts w:ascii="Verdana" w:hAnsi="Verdana"/>
          <w:color w:val="ED1C2A"/>
          <w:sz w:val="30"/>
          <w:szCs w:val="30"/>
        </w:rPr>
      </w:pPr>
    </w:p>
    <w:p w14:paraId="474189E1" w14:textId="77777777" w:rsidR="00EE66C2" w:rsidRPr="00BE22CD" w:rsidRDefault="00EE66C2" w:rsidP="00BE22CD">
      <w:pPr>
        <w:tabs>
          <w:tab w:val="left" w:pos="4111"/>
          <w:tab w:val="left" w:pos="7371"/>
        </w:tabs>
        <w:spacing w:line="276" w:lineRule="auto"/>
        <w:rPr>
          <w:rFonts w:ascii="Verdana" w:hAnsi="Verdana"/>
          <w:b/>
          <w:color w:val="41525C"/>
          <w:sz w:val="30"/>
          <w:szCs w:val="30"/>
        </w:rPr>
      </w:pPr>
    </w:p>
    <w:p w14:paraId="38536171" w14:textId="77777777" w:rsidR="00EE66C2" w:rsidRPr="00573CC5" w:rsidRDefault="00AA0216" w:rsidP="00C71F7F">
      <w:pPr>
        <w:spacing w:line="276" w:lineRule="auto"/>
        <w:rPr>
          <w:rFonts w:ascii="Georgia" w:hAnsi="Georgia" w:cs="Arial"/>
          <w:b/>
          <w:sz w:val="28"/>
          <w:szCs w:val="28"/>
        </w:rPr>
      </w:pPr>
      <w:r>
        <w:rPr>
          <w:rFonts w:ascii="Georgia" w:hAnsi="Georgia"/>
          <w:b/>
          <w:sz w:val="28"/>
        </w:rPr>
        <w:t>Manitowoc impulsa la innovación en la industria de la elevación en CONEXPO 2017</w:t>
      </w:r>
    </w:p>
    <w:p w14:paraId="71CE0AAF" w14:textId="77777777" w:rsidR="00F751B9" w:rsidRPr="00A00DCE" w:rsidRDefault="00F751B9" w:rsidP="00C71F7F">
      <w:pPr>
        <w:spacing w:line="276" w:lineRule="auto"/>
        <w:rPr>
          <w:rFonts w:ascii="Georgia" w:hAnsi="Georgia"/>
          <w:sz w:val="28"/>
          <w:szCs w:val="28"/>
        </w:rPr>
      </w:pPr>
    </w:p>
    <w:p w14:paraId="087CC53A" w14:textId="77777777" w:rsidR="00BC7320" w:rsidRPr="00573CC5" w:rsidRDefault="002865AA" w:rsidP="00C71F7F">
      <w:pPr>
        <w:spacing w:line="276" w:lineRule="auto"/>
        <w:rPr>
          <w:rFonts w:ascii="Georgia" w:hAnsi="Georgia"/>
          <w:sz w:val="21"/>
          <w:szCs w:val="21"/>
        </w:rPr>
      </w:pPr>
      <w:r>
        <w:rPr>
          <w:rFonts w:ascii="Georgia" w:hAnsi="Georgia"/>
          <w:sz w:val="21"/>
        </w:rPr>
        <w:t xml:space="preserve">La más reciente tecnología de elevación se exhibe en el stand de Manitowoc en CONEXPO este año, donde la empresa muestra una colección de sus últimos productos. Una serie de innovaciones exclusivas que forman parte de la gama de grúas de oruga, grúas todo terreno, grúas para terrenos difíciles, camiones grúa, grúas torre y grúas autoerigibles de la empresa reafirman la primacía del fabricante en todo el abanico de operaciones de elevación. </w:t>
      </w:r>
    </w:p>
    <w:p w14:paraId="35A6FA0B" w14:textId="77777777" w:rsidR="000C7FBF" w:rsidRPr="00573CC5" w:rsidRDefault="000C7FBF" w:rsidP="00C71F7F">
      <w:pPr>
        <w:spacing w:line="276" w:lineRule="auto"/>
        <w:rPr>
          <w:rFonts w:ascii="Georgia" w:hAnsi="Georgia"/>
          <w:sz w:val="21"/>
          <w:szCs w:val="21"/>
        </w:rPr>
      </w:pPr>
    </w:p>
    <w:p w14:paraId="61D345C5" w14:textId="77777777" w:rsidR="00F9580F" w:rsidRPr="00573CC5" w:rsidRDefault="00F9580F" w:rsidP="00C71F7F">
      <w:pPr>
        <w:spacing w:line="276" w:lineRule="auto"/>
        <w:rPr>
          <w:rFonts w:ascii="Georgia" w:hAnsi="Georgia"/>
          <w:sz w:val="21"/>
          <w:szCs w:val="21"/>
        </w:rPr>
      </w:pPr>
      <w:r>
        <w:rPr>
          <w:rFonts w:ascii="Georgia" w:hAnsi="Georgia"/>
          <w:sz w:val="21"/>
        </w:rPr>
        <w:t xml:space="preserve">Barry Pennypacker, presidente y director ejecutivo de Manitowoc, dijo que la presencia de la compañía en el evento refleja su nueva dirección como parte de </w:t>
      </w:r>
      <w:r>
        <w:rPr>
          <w:rFonts w:ascii="Georgia" w:hAnsi="Georgia"/>
          <w:i/>
          <w:sz w:val="21"/>
        </w:rPr>
        <w:t>La manera Manitowoc</w:t>
      </w:r>
      <w:r>
        <w:rPr>
          <w:rFonts w:ascii="Georgia" w:hAnsi="Georgia"/>
          <w:sz w:val="21"/>
        </w:rPr>
        <w:t xml:space="preserve">. </w:t>
      </w:r>
    </w:p>
    <w:p w14:paraId="0128853D" w14:textId="77777777" w:rsidR="00F9580F" w:rsidRPr="00573CC5" w:rsidRDefault="00F9580F" w:rsidP="00C71F7F">
      <w:pPr>
        <w:spacing w:line="276" w:lineRule="auto"/>
        <w:rPr>
          <w:rFonts w:ascii="Georgia" w:hAnsi="Georgia"/>
          <w:sz w:val="21"/>
          <w:szCs w:val="21"/>
        </w:rPr>
      </w:pPr>
    </w:p>
    <w:p w14:paraId="0A8C3381" w14:textId="77777777" w:rsidR="0006380E" w:rsidRPr="00573CC5" w:rsidRDefault="00F9580F" w:rsidP="00C71F7F">
      <w:pPr>
        <w:spacing w:line="276" w:lineRule="auto"/>
        <w:rPr>
          <w:rFonts w:ascii="Georgia" w:hAnsi="Georgia"/>
          <w:sz w:val="21"/>
          <w:szCs w:val="21"/>
        </w:rPr>
      </w:pPr>
      <w:r>
        <w:rPr>
          <w:rFonts w:ascii="Georgia" w:hAnsi="Georgia"/>
          <w:sz w:val="21"/>
        </w:rPr>
        <w:t xml:space="preserve">“El stand de Manitowoc es el destino principal del lote Gold en CONEXPO. Cada grúa exhibida en nuestro stand combina diseño y rendimiento de vanguardia, que son el resultado de opiniones clave que nuestros clientes aportaron para el desarrollo de los productos. Esto pone de relieve nuestro tradicional compromiso con la innovación”, expresó. “Estamos presentando varias grúas que deberían sorprender y deleitar a los clientes. Como empresa, estamos comprometidos con aportar más velocidad a nuestras operaciones y con introducir nuevos productos más rápido para mejorar el rendimiento sobre el capital invertido de nuestros clientes. La innovación y la velocidad son los principales impulsores de la cultura corporativa </w:t>
      </w:r>
      <w:r>
        <w:rPr>
          <w:rFonts w:ascii="Georgia" w:hAnsi="Georgia"/>
          <w:i/>
          <w:sz w:val="21"/>
        </w:rPr>
        <w:t>La manera Manitowoc</w:t>
      </w:r>
      <w:r>
        <w:rPr>
          <w:rFonts w:ascii="Georgia" w:hAnsi="Georgia"/>
          <w:sz w:val="21"/>
        </w:rPr>
        <w:t xml:space="preserve">, y CONEXPO nos brinda otra oportunidad de que la industria la conozca”. </w:t>
      </w:r>
    </w:p>
    <w:p w14:paraId="3FA09423" w14:textId="77777777" w:rsidR="00A52CA6" w:rsidRPr="00573CC5" w:rsidRDefault="00A52CA6" w:rsidP="00C71F7F">
      <w:pPr>
        <w:spacing w:line="276" w:lineRule="auto"/>
        <w:rPr>
          <w:rFonts w:ascii="Georgia" w:hAnsi="Georgia"/>
          <w:sz w:val="21"/>
          <w:szCs w:val="21"/>
        </w:rPr>
      </w:pPr>
    </w:p>
    <w:p w14:paraId="0E5FD181" w14:textId="4405D07B" w:rsidR="00F9580F" w:rsidRPr="00573CC5" w:rsidRDefault="0040647D" w:rsidP="00C71F7F">
      <w:pPr>
        <w:spacing w:line="276" w:lineRule="auto"/>
        <w:rPr>
          <w:rFonts w:ascii="Georgia" w:hAnsi="Georgia"/>
          <w:sz w:val="21"/>
          <w:szCs w:val="21"/>
        </w:rPr>
      </w:pPr>
      <w:r>
        <w:rPr>
          <w:rFonts w:ascii="Georgia" w:hAnsi="Georgia"/>
          <w:sz w:val="21"/>
        </w:rPr>
        <w:t xml:space="preserve">Entre las grúas que la empresa expone se encuentran la GMK5250L y la GMK5150L, que pertenecen a la línea de grúas todo terreno de Grove. Estas dos unidades de pluma larga se exhiben por primera vez en una exposición comercial en Norteamérica. Ambos modelos están montados en vehículos de cinco ejes y, como sus placas sugieren, se destacan por la longitud de la pluma. La pluma de 70 m de la GMK5250L de 250 toneladas y la pluma de 60 m de la GMK5150L de 150 toneladas son las más largas de sus respectivas clases. </w:t>
      </w:r>
    </w:p>
    <w:p w14:paraId="0CF5084D" w14:textId="77777777" w:rsidR="00A02918" w:rsidRPr="00573CC5" w:rsidRDefault="00A02918" w:rsidP="00C71F7F">
      <w:pPr>
        <w:spacing w:line="276" w:lineRule="auto"/>
        <w:rPr>
          <w:rFonts w:ascii="Georgia" w:hAnsi="Georgia"/>
          <w:sz w:val="21"/>
          <w:szCs w:val="21"/>
        </w:rPr>
      </w:pPr>
    </w:p>
    <w:p w14:paraId="2F4C1B8F" w14:textId="77777777" w:rsidR="00A02918" w:rsidRPr="00573CC5" w:rsidRDefault="00A02918" w:rsidP="00C71F7F">
      <w:pPr>
        <w:spacing w:line="276" w:lineRule="auto"/>
        <w:rPr>
          <w:rFonts w:ascii="Georgia" w:hAnsi="Georgia"/>
          <w:sz w:val="21"/>
          <w:szCs w:val="21"/>
        </w:rPr>
      </w:pPr>
      <w:r>
        <w:rPr>
          <w:rFonts w:ascii="Georgia" w:hAnsi="Georgia"/>
          <w:sz w:val="21"/>
        </w:rPr>
        <w:t xml:space="preserve">Ambas máquinas también tienen un solo motor —un concepto de diseño innovador iniciado por Grove en las grúas todo terreno más grandes. El uso de un solo motor ofrece varios beneficios, como configuraciones más flexibilidad para el transporte, entre otros. Esto resulta especialmente útil para los clientes estadounidenses que a menudo deben modificar las configuraciones de transporte de las grúas cuando viajan de un estado a otro, o incluso de un condado a otro. </w:t>
      </w:r>
    </w:p>
    <w:p w14:paraId="15CA0F86" w14:textId="77777777" w:rsidR="00A02918" w:rsidRPr="00573CC5" w:rsidRDefault="00A02918" w:rsidP="00C71F7F">
      <w:pPr>
        <w:spacing w:line="276" w:lineRule="auto"/>
        <w:rPr>
          <w:rFonts w:ascii="Georgia" w:hAnsi="Georgia"/>
          <w:sz w:val="21"/>
          <w:szCs w:val="21"/>
        </w:rPr>
      </w:pPr>
    </w:p>
    <w:p w14:paraId="03C2419A" w14:textId="41AB56E2" w:rsidR="00A02918" w:rsidRDefault="00300633" w:rsidP="00C71F7F">
      <w:pPr>
        <w:spacing w:line="276" w:lineRule="auto"/>
        <w:rPr>
          <w:rFonts w:ascii="Georgia" w:hAnsi="Georgia"/>
          <w:sz w:val="21"/>
          <w:szCs w:val="21"/>
        </w:rPr>
      </w:pPr>
      <w:r>
        <w:rPr>
          <w:rFonts w:ascii="Georgia" w:hAnsi="Georgia"/>
          <w:sz w:val="21"/>
        </w:rPr>
        <w:t xml:space="preserve">Otras grúas móviles de Grove que se presentan en CONEXPO 2017 son dos nuevos modelos para terrenos difíciles: el GRT880 de 75 toneladas y el GRT655L de 50 toneladas, que se exhiben ante el público de Norteamérica por primera vez. Con nuevos diseños, que también ostentan la GRT8100, la GRT880 y la GRT655L de la empresa, ambas grúas tienen incorporado el sistema de control de grúa, o CCS, de Manitowoc. Todos los modelos de grúas para terrenos difíciles de Grove son más confiables que nunca, gracias a las exhaustivas pruebas del producto realizadas en el exclusivo Product Verification Center de la empresa, en Shady Grove, Pennsylvania. En estas instalaciones, cada </w:t>
      </w:r>
      <w:r>
        <w:rPr>
          <w:rFonts w:ascii="Georgia" w:hAnsi="Georgia"/>
          <w:sz w:val="21"/>
        </w:rPr>
        <w:lastRenderedPageBreak/>
        <w:t>componente se somete a un minucioso procedimiento de validación como parte del proceso de diseño, para que la grúa terminada tenga un mejor desempeño general.</w:t>
      </w:r>
    </w:p>
    <w:p w14:paraId="4E5B7415" w14:textId="77777777" w:rsidR="00573CC5" w:rsidRDefault="00573CC5" w:rsidP="00C71F7F">
      <w:pPr>
        <w:spacing w:line="276" w:lineRule="auto"/>
        <w:rPr>
          <w:rFonts w:ascii="Georgia" w:hAnsi="Georgia"/>
          <w:sz w:val="21"/>
          <w:szCs w:val="21"/>
        </w:rPr>
      </w:pPr>
    </w:p>
    <w:p w14:paraId="258119E1" w14:textId="77777777" w:rsidR="00573CC5" w:rsidRDefault="004841E0" w:rsidP="00C71F7F">
      <w:pPr>
        <w:spacing w:line="276" w:lineRule="auto"/>
        <w:rPr>
          <w:rFonts w:ascii="Georgia" w:hAnsi="Georgia"/>
          <w:sz w:val="21"/>
          <w:szCs w:val="21"/>
        </w:rPr>
      </w:pPr>
      <w:r>
        <w:rPr>
          <w:rFonts w:ascii="Georgia" w:hAnsi="Georgia"/>
          <w:sz w:val="21"/>
        </w:rPr>
        <w:t xml:space="preserve">La gama de grúas de oruga de Manitowoc está representada por la MLC650 —una máquina equipada con el accesorio VPC-MAX que por primera vez se presenta en una feria comercial—, y por una nueva iteración de la MLC300 que posee un contrapeso de posición fijo. Al mismo tiempo, se exponen tres máquinas de la marca de grúas Potain: una nueva grúa autoerigible y dos grúas torre inclinables. La grúa autoerigible es la Hup 40-30, perteneciente a la innovadora gama de máquinas presentadas en 2016. La unidad se muestra por primera vez en una exposición importante, y sus características destacadas de vanguardia son la versatilidad y agilidad de un diseño que ofrece 16 opciones de configuración diferentes. La tecnología también pisa fuerte, ya que la Hup 40-30 cuenta con un nuevo control remoto, el software Smart Set Up y un malacate con tecnología High Performance Lifting (HPL) de Potain. </w:t>
      </w:r>
    </w:p>
    <w:p w14:paraId="64CA94D1" w14:textId="77777777" w:rsidR="00E31E2C" w:rsidRDefault="00E31E2C" w:rsidP="00C71F7F">
      <w:pPr>
        <w:spacing w:line="276" w:lineRule="auto"/>
        <w:rPr>
          <w:rFonts w:ascii="Georgia" w:hAnsi="Georgia"/>
          <w:sz w:val="21"/>
          <w:szCs w:val="21"/>
        </w:rPr>
      </w:pPr>
    </w:p>
    <w:p w14:paraId="4ABC0C16" w14:textId="77777777" w:rsidR="00E64EF2" w:rsidRDefault="00E31E2C" w:rsidP="00C71F7F">
      <w:pPr>
        <w:spacing w:line="276" w:lineRule="auto"/>
        <w:rPr>
          <w:rFonts w:ascii="Georgia" w:hAnsi="Georgia"/>
          <w:sz w:val="21"/>
          <w:szCs w:val="21"/>
        </w:rPr>
      </w:pPr>
      <w:r>
        <w:rPr>
          <w:rFonts w:ascii="Georgia" w:hAnsi="Georgia"/>
          <w:sz w:val="21"/>
        </w:rPr>
        <w:t xml:space="preserve">La presentación de las dos grúas inclinables de Potain en CONEXPO también se centra fervientemente en la tecnología, en especial a través de un diseño actualizado que incorpora el CCS. La MD 559 muestra cómo la tecnología CCS se integró a la línea de grúas MD de gran capacidad de Potain. Desde la línea de grúas sin cabeza de Potain, la empresa exhibe la MDT 219 —el modelo con mayor capacidad de la gama de grúas torre para uso urbano MDT CCS, que se presentó en 2016. </w:t>
      </w:r>
    </w:p>
    <w:p w14:paraId="2B2892FE" w14:textId="77777777" w:rsidR="006350D5" w:rsidRDefault="006350D5" w:rsidP="00C71F7F">
      <w:pPr>
        <w:spacing w:line="276" w:lineRule="auto"/>
        <w:rPr>
          <w:rFonts w:ascii="Georgia" w:hAnsi="Georgia"/>
          <w:sz w:val="21"/>
          <w:szCs w:val="21"/>
        </w:rPr>
      </w:pPr>
    </w:p>
    <w:p w14:paraId="4E9BDC6F" w14:textId="77777777" w:rsidR="006350D5" w:rsidRDefault="006350D5" w:rsidP="00C71F7F">
      <w:pPr>
        <w:spacing w:line="276" w:lineRule="auto"/>
        <w:rPr>
          <w:rFonts w:ascii="Georgia" w:hAnsi="Georgia"/>
          <w:sz w:val="21"/>
          <w:szCs w:val="21"/>
        </w:rPr>
      </w:pPr>
      <w:r>
        <w:rPr>
          <w:rFonts w:ascii="Georgia" w:hAnsi="Georgia"/>
          <w:sz w:val="21"/>
        </w:rPr>
        <w:t xml:space="preserve">La incorporación del CCS a las grúas torre de Potain ofrece varias ventajas, como rapidez y facilidad de configuración, que se realiza en tan solo 15 minutos. La tecnología también permite controlar más de cerca las operaciones de elevación, lo que a su vez proporciona mayores capacidades. El mantenimiento es más sencillo gracias a la herramienta de mantenimiento en pantalla, y el uso de componentes estandarizados se traduce en una gran disponibilidad de repuestos. </w:t>
      </w:r>
    </w:p>
    <w:p w14:paraId="4C647713" w14:textId="77777777" w:rsidR="005B04BD" w:rsidRDefault="005B04BD" w:rsidP="00C71F7F">
      <w:pPr>
        <w:spacing w:line="276" w:lineRule="auto"/>
        <w:rPr>
          <w:rFonts w:ascii="Georgia" w:hAnsi="Georgia"/>
          <w:sz w:val="21"/>
          <w:szCs w:val="21"/>
        </w:rPr>
      </w:pPr>
    </w:p>
    <w:p w14:paraId="33A3A818" w14:textId="3103CB9D" w:rsidR="006350D5" w:rsidRPr="00564F56" w:rsidRDefault="00564F56" w:rsidP="00C71F7F">
      <w:pPr>
        <w:spacing w:line="276" w:lineRule="auto"/>
        <w:rPr>
          <w:rFonts w:ascii="Georgia" w:hAnsi="Georgia"/>
          <w:sz w:val="21"/>
          <w:szCs w:val="21"/>
        </w:rPr>
      </w:pPr>
      <w:r>
        <w:rPr>
          <w:rFonts w:ascii="Georgia" w:eastAsiaTheme="minorEastAsia" w:hAnsi="Georgia"/>
          <w:color w:val="18376A"/>
          <w:sz w:val="21"/>
        </w:rPr>
        <w:t>National Crane presenta la nueva NTC55, una “sustituta” evolucionada de la grúa montada en camión que se puede maniobrar en los espacios de trabajo estrechos que generalmente se reservan para las grúas montadas en camión, pero que posee las características adicionales de un camión grúa para brindar mayor versatilidad en el lugar de trabajo. El nuevo modelo tiene un sistema de estabilizadores de cuatro posiciones que le confiere a la grúa el alcance y la capacidad de un camión grúa de 50 toneladas cuando están completamente extendidos. En espacios de trabajo estrechos, como los que se encuentran en entornos urbanos, la NTC55 puede retraer sus estabilizadores hasta alcanzar una separación del 75 % para ocupar menos espacio, y a la vez ofrecer mayor capacidad que las grúas montadas en camión de dimensiones similares de la competencia. Un nuevo sistema de contrapeso desmontable hidráulicamente, un ángulo máximo de pluma de 80° y una cabina inclinable a 20° —una prioridad para National Crane— conforman un diseño centrado en el operador.</w:t>
      </w:r>
    </w:p>
    <w:p w14:paraId="28746CC6" w14:textId="77777777" w:rsidR="00564F56" w:rsidRDefault="00564F56" w:rsidP="00C71F7F">
      <w:pPr>
        <w:spacing w:line="276" w:lineRule="auto"/>
        <w:rPr>
          <w:rFonts w:ascii="Georgia" w:hAnsi="Georgia"/>
          <w:sz w:val="21"/>
          <w:szCs w:val="21"/>
        </w:rPr>
      </w:pPr>
    </w:p>
    <w:p w14:paraId="157DA96C" w14:textId="77777777" w:rsidR="00573CC5" w:rsidRDefault="004C2FED" w:rsidP="00C71F7F">
      <w:pPr>
        <w:spacing w:line="276" w:lineRule="auto"/>
        <w:rPr>
          <w:rFonts w:ascii="Georgia" w:hAnsi="Georgia"/>
          <w:sz w:val="21"/>
          <w:szCs w:val="21"/>
        </w:rPr>
      </w:pPr>
      <w:r>
        <w:rPr>
          <w:rFonts w:ascii="Georgia" w:hAnsi="Georgia"/>
          <w:sz w:val="21"/>
        </w:rPr>
        <w:t xml:space="preserve">Además de exponer varias grúas, el stand de Manitowoc incluye una serie de muestras y exhibiciones interactivas relacionadas con una gama de características y servicios, como el programa de apoyo al cliente de Manitowoc Crane Care y la rama de financiamiento Manitowoc Finance. La empresa se encuentra en el stand G3348 en el lote Gold de CONEXPO 2017. La feria se realiza del 7 al 11 de marzo de 2017 en el Centro de Convenciones de Las Vegas, EE. UU. </w:t>
      </w:r>
    </w:p>
    <w:p w14:paraId="10D93E46" w14:textId="77777777" w:rsidR="00EE66C2" w:rsidRPr="00573CC5" w:rsidRDefault="00EE66C2" w:rsidP="00610672">
      <w:pPr>
        <w:pStyle w:val="BodyText"/>
        <w:spacing w:line="240" w:lineRule="auto"/>
        <w:ind w:left="0"/>
        <w:jc w:val="center"/>
        <w:rPr>
          <w:szCs w:val="21"/>
        </w:rPr>
      </w:pPr>
    </w:p>
    <w:p w14:paraId="7936B315"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Pr>
          <w:rFonts w:ascii="Georgia" w:hAnsi="Georgia"/>
          <w:sz w:val="21"/>
        </w:rPr>
        <w:lastRenderedPageBreak/>
        <w:t>-FIN-</w:t>
      </w:r>
    </w:p>
    <w:p w14:paraId="42811A8D" w14:textId="77777777" w:rsidR="00EE66C2" w:rsidRDefault="00EE66C2" w:rsidP="00EE66C2">
      <w:pPr>
        <w:tabs>
          <w:tab w:val="left" w:pos="1055"/>
          <w:tab w:val="left" w:pos="4111"/>
          <w:tab w:val="left" w:pos="5812"/>
          <w:tab w:val="left" w:pos="7371"/>
        </w:tabs>
        <w:jc w:val="center"/>
        <w:rPr>
          <w:rFonts w:ascii="Georgia" w:hAnsi="Georgia" w:cs="Georgia"/>
          <w:sz w:val="21"/>
          <w:szCs w:val="21"/>
        </w:rPr>
      </w:pPr>
    </w:p>
    <w:p w14:paraId="6DE458AE" w14:textId="77777777" w:rsidR="00C71F7F" w:rsidRDefault="00C71F7F" w:rsidP="00BE22CD">
      <w:pPr>
        <w:tabs>
          <w:tab w:val="left" w:pos="1055"/>
          <w:tab w:val="left" w:pos="4111"/>
          <w:tab w:val="left" w:pos="5812"/>
          <w:tab w:val="left" w:pos="7371"/>
        </w:tabs>
        <w:rPr>
          <w:rFonts w:ascii="Georgia" w:hAnsi="Georgia" w:cs="Georgia"/>
          <w:sz w:val="21"/>
          <w:szCs w:val="21"/>
        </w:rPr>
      </w:pPr>
    </w:p>
    <w:p w14:paraId="0AB4E967" w14:textId="77777777" w:rsidR="00EA7D29" w:rsidRDefault="00EA7D29" w:rsidP="00EA7D29">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596ADA53" w14:textId="77777777" w:rsidR="00EA7D29" w:rsidRDefault="00EA7D29" w:rsidP="00EA7D29">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73468E0C" w14:textId="77777777" w:rsidR="00EA7D29" w:rsidRDefault="00EA7D29" w:rsidP="00EA7D29">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74C451C6" w14:textId="77777777" w:rsidR="00EA7D29" w:rsidRDefault="00EA7D29" w:rsidP="00EA7D29">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2A821D08" w14:textId="77777777" w:rsidR="00EA7D29" w:rsidRDefault="00536BD7" w:rsidP="00EA7D29">
      <w:pPr>
        <w:tabs>
          <w:tab w:val="left" w:pos="1055"/>
          <w:tab w:val="left" w:pos="3969"/>
          <w:tab w:val="left" w:pos="6379"/>
          <w:tab w:val="left" w:pos="7371"/>
        </w:tabs>
        <w:spacing w:line="276" w:lineRule="auto"/>
        <w:rPr>
          <w:rFonts w:ascii="Verdana" w:hAnsi="Verdana"/>
          <w:b/>
          <w:color w:val="41525C"/>
          <w:sz w:val="18"/>
          <w:szCs w:val="18"/>
        </w:rPr>
      </w:pPr>
      <w:hyperlink r:id="rId9" w:history="1">
        <w:r w:rsidR="00EA7D29">
          <w:rPr>
            <w:rStyle w:val="Hyperlink"/>
            <w:rFonts w:ascii="Verdana" w:hAnsi="Verdana"/>
            <w:color w:val="41525C"/>
            <w:sz w:val="18"/>
          </w:rPr>
          <w:t>amy.marten@manitowoc.com</w:t>
        </w:r>
      </w:hyperlink>
      <w:r w:rsidR="00EA7D29">
        <w:tab/>
      </w:r>
      <w:hyperlink r:id="rId10" w:history="1">
        <w:r w:rsidR="00EA7D29">
          <w:rPr>
            <w:rStyle w:val="Hyperlink"/>
            <w:rFonts w:ascii="Verdana" w:hAnsi="Verdana"/>
            <w:color w:val="41525C"/>
            <w:sz w:val="18"/>
          </w:rPr>
          <w:t>damian.joseph@se10.com</w:t>
        </w:r>
      </w:hyperlink>
    </w:p>
    <w:p w14:paraId="5CA0785F" w14:textId="77777777" w:rsidR="00EA7D29" w:rsidRDefault="00EA7D29" w:rsidP="00EA7D29">
      <w:pPr>
        <w:spacing w:line="276" w:lineRule="auto"/>
        <w:rPr>
          <w:rFonts w:ascii="Verdana" w:hAnsi="Verdana" w:cs="Georgia"/>
          <w:sz w:val="18"/>
          <w:szCs w:val="18"/>
        </w:rPr>
      </w:pPr>
    </w:p>
    <w:p w14:paraId="1336C4C2" w14:textId="77777777" w:rsidR="00EA7D29" w:rsidRDefault="00EA7D29" w:rsidP="00EA7D29">
      <w:pPr>
        <w:spacing w:line="276" w:lineRule="auto"/>
        <w:rPr>
          <w:rFonts w:ascii="Verdana" w:hAnsi="Verdana" w:cs="Arial"/>
          <w:sz w:val="18"/>
          <w:szCs w:val="18"/>
        </w:rPr>
      </w:pPr>
    </w:p>
    <w:p w14:paraId="3726FDB3" w14:textId="77777777" w:rsidR="00EA7D29" w:rsidRDefault="00EA7D29" w:rsidP="00EA7D29">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6DDF90D8" w14:textId="77777777" w:rsidR="00EA7D29" w:rsidRDefault="00EA7D29" w:rsidP="00EA7D29">
      <w:pPr>
        <w:spacing w:line="276" w:lineRule="auto"/>
        <w:rPr>
          <w:rFonts w:ascii="Verdana" w:hAnsi="Verdana"/>
          <w:color w:val="41525C"/>
          <w:sz w:val="18"/>
          <w:szCs w:val="18"/>
        </w:rPr>
      </w:pP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34C49FFC" w14:textId="77777777" w:rsidR="00EA7D29" w:rsidRDefault="00EA7D29" w:rsidP="00EA7D29">
      <w:pPr>
        <w:spacing w:line="276" w:lineRule="auto"/>
        <w:rPr>
          <w:rFonts w:ascii="Verdana" w:hAnsi="Verdana"/>
          <w:color w:val="41525C"/>
          <w:sz w:val="18"/>
          <w:szCs w:val="18"/>
        </w:rPr>
      </w:pPr>
    </w:p>
    <w:p w14:paraId="5628E69F" w14:textId="77777777" w:rsidR="00F011B7" w:rsidRPr="00A678F4" w:rsidRDefault="00F011B7" w:rsidP="00F011B7">
      <w:pPr>
        <w:spacing w:line="276" w:lineRule="auto"/>
        <w:outlineLvl w:val="0"/>
        <w:rPr>
          <w:sz w:val="18"/>
          <w:szCs w:val="18"/>
        </w:rPr>
      </w:pPr>
      <w:r>
        <w:rPr>
          <w:rFonts w:ascii="Verdana" w:hAnsi="Verdana"/>
          <w:color w:val="ED1C2A"/>
          <w:sz w:val="18"/>
          <w:szCs w:val="18"/>
        </w:rPr>
        <w:t>THE MANITOWOC COMPANY, INC.</w:t>
      </w:r>
    </w:p>
    <w:p w14:paraId="7A2450BA" w14:textId="01710ECB" w:rsidR="00F011B7" w:rsidRPr="00A678F4" w:rsidRDefault="00F011B7" w:rsidP="00F011B7">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5E39F025" w14:textId="77777777" w:rsidR="00F011B7" w:rsidRPr="00A678F4" w:rsidRDefault="00F011B7" w:rsidP="00F011B7">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6FBEAFF4" w14:textId="77777777" w:rsidR="00F011B7" w:rsidRPr="00A44D46" w:rsidRDefault="00F011B7" w:rsidP="00F011B7">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01826BE2" w14:textId="77777777" w:rsidR="00EA7D29" w:rsidRDefault="00EA7D29" w:rsidP="00EA7D29">
      <w:pPr>
        <w:spacing w:line="276" w:lineRule="auto"/>
        <w:rPr>
          <w:rFonts w:ascii="Verdana" w:hAnsi="Verdana"/>
          <w:b/>
          <w:color w:val="41525C"/>
          <w:sz w:val="18"/>
          <w:szCs w:val="18"/>
          <w:u w:val="single"/>
        </w:rPr>
      </w:pPr>
    </w:p>
    <w:p w14:paraId="6C2AF3A9"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46D27C53"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13F86594"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3B5DA80C" w14:textId="77777777" w:rsidR="00F5437E" w:rsidRPr="00573CC5" w:rsidRDefault="00F5437E" w:rsidP="00BE22CD">
      <w:pPr>
        <w:tabs>
          <w:tab w:val="left" w:pos="1055"/>
          <w:tab w:val="left" w:pos="4111"/>
          <w:tab w:val="left" w:pos="5812"/>
          <w:tab w:val="left" w:pos="7371"/>
        </w:tabs>
        <w:rPr>
          <w:rFonts w:ascii="Georgia" w:hAnsi="Georgia" w:cs="Georgia"/>
          <w:sz w:val="21"/>
          <w:szCs w:val="21"/>
        </w:rPr>
      </w:pPr>
    </w:p>
    <w:sectPr w:rsidR="00F5437E" w:rsidRPr="00573CC5" w:rsidSect="00046D7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031F1B" w14:textId="77777777" w:rsidR="00536BD7" w:rsidRDefault="00536BD7">
      <w:r>
        <w:separator/>
      </w:r>
    </w:p>
  </w:endnote>
  <w:endnote w:type="continuationSeparator" w:id="0">
    <w:p w14:paraId="6CCD12DE" w14:textId="77777777" w:rsidR="00536BD7" w:rsidRDefault="00536BD7">
      <w:r>
        <w:continuationSeparator/>
      </w:r>
    </w:p>
  </w:endnote>
  <w:endnote w:type="continuationNotice" w:id="1">
    <w:p w14:paraId="15930A4C" w14:textId="77777777" w:rsidR="00536BD7" w:rsidRDefault="00536B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D2E92" w14:textId="77777777" w:rsidR="00536BD7" w:rsidRDefault="00536BD7">
      <w:r>
        <w:separator/>
      </w:r>
    </w:p>
  </w:footnote>
  <w:footnote w:type="continuationSeparator" w:id="0">
    <w:p w14:paraId="6613909E" w14:textId="77777777" w:rsidR="00536BD7" w:rsidRDefault="00536BD7">
      <w:r>
        <w:continuationSeparator/>
      </w:r>
    </w:p>
  </w:footnote>
  <w:footnote w:type="continuationNotice" w:id="1">
    <w:p w14:paraId="6B5BA1F5" w14:textId="77777777" w:rsidR="00536BD7" w:rsidRDefault="00536BD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93FE0" w14:textId="77777777" w:rsidR="00C21CDA" w:rsidRDefault="00C21CDA" w:rsidP="00C921E0">
    <w:pPr>
      <w:spacing w:line="276" w:lineRule="auto"/>
      <w:rPr>
        <w:rFonts w:ascii="Verdana" w:hAnsi="Verdana"/>
        <w:b/>
        <w:color w:val="41525C"/>
        <w:sz w:val="18"/>
        <w:szCs w:val="18"/>
      </w:rPr>
    </w:pPr>
    <w:r>
      <w:rPr>
        <w:rFonts w:ascii="Verdana" w:hAnsi="Verdana"/>
        <w:b/>
        <w:color w:val="41525C"/>
        <w:sz w:val="18"/>
      </w:rPr>
      <w:t>Manitowoc en CONEXPO 2017</w:t>
    </w:r>
  </w:p>
  <w:p w14:paraId="3FC46B5D" w14:textId="77777777" w:rsidR="00C21CDA" w:rsidRPr="00164A29" w:rsidRDefault="000C66B6" w:rsidP="00C921E0">
    <w:pPr>
      <w:spacing w:line="276" w:lineRule="auto"/>
      <w:rPr>
        <w:rFonts w:ascii="Verdana" w:hAnsi="Verdana"/>
        <w:color w:val="ED1C2A"/>
        <w:sz w:val="18"/>
        <w:szCs w:val="18"/>
      </w:rPr>
    </w:pPr>
    <w:r>
      <w:rPr>
        <w:rFonts w:ascii="Verdana" w:hAnsi="Verdana"/>
        <w:color w:val="41525C"/>
        <w:sz w:val="18"/>
      </w:rPr>
      <w:t>7 de marzo de 2017</w:t>
    </w:r>
  </w:p>
  <w:p w14:paraId="6D579358" w14:textId="77777777" w:rsidR="00C21CDA" w:rsidRPr="003E31C0" w:rsidRDefault="00C21CDA" w:rsidP="00C921E0">
    <w:pPr>
      <w:spacing w:line="276" w:lineRule="auto"/>
      <w:rPr>
        <w:rFonts w:ascii="Verdana" w:hAnsi="Verdana"/>
        <w:sz w:val="16"/>
        <w:szCs w:val="16"/>
      </w:rPr>
    </w:pPr>
  </w:p>
  <w:p w14:paraId="53BC7886"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C2"/>
    <w:rsid w:val="00046D7F"/>
    <w:rsid w:val="00047547"/>
    <w:rsid w:val="0006380E"/>
    <w:rsid w:val="000A318E"/>
    <w:rsid w:val="000A5888"/>
    <w:rsid w:val="000B06C3"/>
    <w:rsid w:val="000C410A"/>
    <w:rsid w:val="000C66B6"/>
    <w:rsid w:val="000C7FBF"/>
    <w:rsid w:val="00103E2E"/>
    <w:rsid w:val="001045DD"/>
    <w:rsid w:val="00150E59"/>
    <w:rsid w:val="00151E69"/>
    <w:rsid w:val="001A5997"/>
    <w:rsid w:val="001C02FE"/>
    <w:rsid w:val="001E4795"/>
    <w:rsid w:val="001F21C1"/>
    <w:rsid w:val="00213D0F"/>
    <w:rsid w:val="002305B9"/>
    <w:rsid w:val="00255BA2"/>
    <w:rsid w:val="002612F7"/>
    <w:rsid w:val="00266267"/>
    <w:rsid w:val="00270F42"/>
    <w:rsid w:val="00275CA1"/>
    <w:rsid w:val="002865AA"/>
    <w:rsid w:val="00292BA9"/>
    <w:rsid w:val="002C0A24"/>
    <w:rsid w:val="002D5022"/>
    <w:rsid w:val="00300633"/>
    <w:rsid w:val="00305B7C"/>
    <w:rsid w:val="003353DC"/>
    <w:rsid w:val="00357569"/>
    <w:rsid w:val="003745AB"/>
    <w:rsid w:val="00383943"/>
    <w:rsid w:val="00385573"/>
    <w:rsid w:val="00390B1A"/>
    <w:rsid w:val="00396EE9"/>
    <w:rsid w:val="003D59B9"/>
    <w:rsid w:val="003E3C53"/>
    <w:rsid w:val="003F760C"/>
    <w:rsid w:val="0040647D"/>
    <w:rsid w:val="00434320"/>
    <w:rsid w:val="00437E75"/>
    <w:rsid w:val="00450562"/>
    <w:rsid w:val="004841E0"/>
    <w:rsid w:val="004A3D83"/>
    <w:rsid w:val="004C1AF1"/>
    <w:rsid w:val="004C2FED"/>
    <w:rsid w:val="004C4FFF"/>
    <w:rsid w:val="004C7A8F"/>
    <w:rsid w:val="004D22CF"/>
    <w:rsid w:val="004F32CB"/>
    <w:rsid w:val="00536BD7"/>
    <w:rsid w:val="0055686B"/>
    <w:rsid w:val="00564F56"/>
    <w:rsid w:val="00573CC5"/>
    <w:rsid w:val="00580693"/>
    <w:rsid w:val="00582AF1"/>
    <w:rsid w:val="005B04BD"/>
    <w:rsid w:val="005D219A"/>
    <w:rsid w:val="005E7E3F"/>
    <w:rsid w:val="005F4F8D"/>
    <w:rsid w:val="00602AE6"/>
    <w:rsid w:val="00610672"/>
    <w:rsid w:val="006350D5"/>
    <w:rsid w:val="006429B1"/>
    <w:rsid w:val="00645699"/>
    <w:rsid w:val="006457F6"/>
    <w:rsid w:val="00646F2B"/>
    <w:rsid w:val="006572A8"/>
    <w:rsid w:val="00695813"/>
    <w:rsid w:val="006A43A8"/>
    <w:rsid w:val="006E6328"/>
    <w:rsid w:val="00700450"/>
    <w:rsid w:val="0071770D"/>
    <w:rsid w:val="00735993"/>
    <w:rsid w:val="007478A1"/>
    <w:rsid w:val="00751172"/>
    <w:rsid w:val="007569C8"/>
    <w:rsid w:val="007606A0"/>
    <w:rsid w:val="007A06F3"/>
    <w:rsid w:val="007B06A0"/>
    <w:rsid w:val="007B240C"/>
    <w:rsid w:val="007D552F"/>
    <w:rsid w:val="008169C1"/>
    <w:rsid w:val="00827A27"/>
    <w:rsid w:val="008640C4"/>
    <w:rsid w:val="00865F10"/>
    <w:rsid w:val="008C65F0"/>
    <w:rsid w:val="008C6EB4"/>
    <w:rsid w:val="008C73FC"/>
    <w:rsid w:val="008C7660"/>
    <w:rsid w:val="008D206A"/>
    <w:rsid w:val="008F5F17"/>
    <w:rsid w:val="00917AC2"/>
    <w:rsid w:val="009227EA"/>
    <w:rsid w:val="00935E95"/>
    <w:rsid w:val="00941189"/>
    <w:rsid w:val="00944158"/>
    <w:rsid w:val="0095023D"/>
    <w:rsid w:val="00951B4C"/>
    <w:rsid w:val="009D3025"/>
    <w:rsid w:val="009D74EE"/>
    <w:rsid w:val="009F38DB"/>
    <w:rsid w:val="00A00DCE"/>
    <w:rsid w:val="00A02918"/>
    <w:rsid w:val="00A1410E"/>
    <w:rsid w:val="00A229B2"/>
    <w:rsid w:val="00A52CA6"/>
    <w:rsid w:val="00A55885"/>
    <w:rsid w:val="00AA0216"/>
    <w:rsid w:val="00AA14D5"/>
    <w:rsid w:val="00AD4A5E"/>
    <w:rsid w:val="00AE0F6F"/>
    <w:rsid w:val="00AF6572"/>
    <w:rsid w:val="00AF7B4E"/>
    <w:rsid w:val="00B23AE0"/>
    <w:rsid w:val="00B52592"/>
    <w:rsid w:val="00BA0F1A"/>
    <w:rsid w:val="00BC7320"/>
    <w:rsid w:val="00BE22CD"/>
    <w:rsid w:val="00C21CDA"/>
    <w:rsid w:val="00C2781A"/>
    <w:rsid w:val="00C44962"/>
    <w:rsid w:val="00C71F7F"/>
    <w:rsid w:val="00C921E0"/>
    <w:rsid w:val="00C94023"/>
    <w:rsid w:val="00CA106D"/>
    <w:rsid w:val="00CB1F08"/>
    <w:rsid w:val="00CC0059"/>
    <w:rsid w:val="00CD2F19"/>
    <w:rsid w:val="00D2219E"/>
    <w:rsid w:val="00D56D83"/>
    <w:rsid w:val="00D60409"/>
    <w:rsid w:val="00D7016C"/>
    <w:rsid w:val="00D73A5F"/>
    <w:rsid w:val="00D74B98"/>
    <w:rsid w:val="00DF6A5C"/>
    <w:rsid w:val="00E10865"/>
    <w:rsid w:val="00E1322D"/>
    <w:rsid w:val="00E163A0"/>
    <w:rsid w:val="00E31E2C"/>
    <w:rsid w:val="00E32CF9"/>
    <w:rsid w:val="00E36999"/>
    <w:rsid w:val="00E46CC5"/>
    <w:rsid w:val="00E64EF2"/>
    <w:rsid w:val="00E665F1"/>
    <w:rsid w:val="00E72540"/>
    <w:rsid w:val="00EA0235"/>
    <w:rsid w:val="00EA7D29"/>
    <w:rsid w:val="00EB1AE2"/>
    <w:rsid w:val="00EE66C2"/>
    <w:rsid w:val="00EF05DF"/>
    <w:rsid w:val="00EF13E5"/>
    <w:rsid w:val="00EF4F29"/>
    <w:rsid w:val="00F011B7"/>
    <w:rsid w:val="00F05B17"/>
    <w:rsid w:val="00F206B0"/>
    <w:rsid w:val="00F252BA"/>
    <w:rsid w:val="00F5437E"/>
    <w:rsid w:val="00F638C6"/>
    <w:rsid w:val="00F72D83"/>
    <w:rsid w:val="00F751B9"/>
    <w:rsid w:val="00F916AA"/>
    <w:rsid w:val="00F9580F"/>
    <w:rsid w:val="00FB708E"/>
    <w:rsid w:val="00FB7B11"/>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F067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es-ES"/>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es-ES" w:eastAsia="es-ES"/>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es-ES" w:eastAsia="es-ES"/>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es-ES" w:eastAsia="es-ES"/>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es-ES" w:eastAsia="es-ES"/>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es-ES" w:eastAsia="es-ES"/>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00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0E439-9693-D740-9ED8-D55586654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1168</Words>
  <Characters>6664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Jeff Jones</cp:lastModifiedBy>
  <cp:revision>3</cp:revision>
  <cp:lastPrinted>2017-02-14T10:44:00Z</cp:lastPrinted>
  <dcterms:created xsi:type="dcterms:W3CDTF">2017-02-24T21:05:00Z</dcterms:created>
  <dcterms:modified xsi:type="dcterms:W3CDTF">2017-02-24T21:05:00Z</dcterms:modified>
</cp:coreProperties>
</file>