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DA3D91"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79076853" wp14:editId="2C3A4073">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w:t>
      </w:r>
    </w:p>
    <w:p w14:paraId="5178C7DB" w14:textId="77777777" w:rsidR="0092578F" w:rsidRPr="00164A29" w:rsidRDefault="009111F9" w:rsidP="0093137A">
      <w:pPr>
        <w:spacing w:line="276" w:lineRule="auto"/>
        <w:jc w:val="right"/>
        <w:outlineLvl w:val="0"/>
        <w:rPr>
          <w:rFonts w:ascii="Verdana" w:hAnsi="Verdana"/>
          <w:color w:val="ED1C2A"/>
          <w:sz w:val="18"/>
          <w:szCs w:val="18"/>
        </w:rPr>
      </w:pPr>
      <w:r>
        <w:rPr>
          <w:rFonts w:ascii="Verdana" w:hAnsi="Verdana"/>
          <w:color w:val="41525C"/>
          <w:sz w:val="18"/>
        </w:rPr>
        <w:t>7 de março de 2017</w:t>
      </w:r>
    </w:p>
    <w:p w14:paraId="2197F0DB" w14:textId="77777777" w:rsidR="00164A29" w:rsidRDefault="00164A29" w:rsidP="00A44D46">
      <w:pPr>
        <w:spacing w:line="276" w:lineRule="auto"/>
        <w:rPr>
          <w:rFonts w:ascii="Verdana" w:hAnsi="Verdana"/>
          <w:color w:val="ED1C2A"/>
          <w:sz w:val="30"/>
          <w:szCs w:val="30"/>
        </w:rPr>
      </w:pPr>
    </w:p>
    <w:p w14:paraId="5CFFC24C" w14:textId="77777777" w:rsidR="00506C1D" w:rsidRDefault="00506C1D" w:rsidP="00A44D46">
      <w:pPr>
        <w:tabs>
          <w:tab w:val="left" w:pos="6096"/>
        </w:tabs>
        <w:spacing w:line="276" w:lineRule="auto"/>
        <w:rPr>
          <w:rFonts w:ascii="Verdana" w:hAnsi="Verdana"/>
          <w:color w:val="ED1C2A"/>
          <w:sz w:val="30"/>
          <w:szCs w:val="30"/>
        </w:rPr>
      </w:pPr>
    </w:p>
    <w:p w14:paraId="5ACDB50D" w14:textId="77777777" w:rsidR="00F86215" w:rsidRPr="001D046B" w:rsidRDefault="00570491" w:rsidP="00B0246E">
      <w:pPr>
        <w:spacing w:line="276" w:lineRule="auto"/>
        <w:outlineLvl w:val="0"/>
        <w:rPr>
          <w:rFonts w:ascii="Georgia" w:hAnsi="Georgia"/>
          <w:b/>
          <w:sz w:val="28"/>
          <w:szCs w:val="28"/>
        </w:rPr>
      </w:pPr>
      <w:r>
        <w:rPr>
          <w:rFonts w:ascii="Georgia" w:hAnsi="Georgia"/>
          <w:b/>
          <w:sz w:val="28"/>
        </w:rPr>
        <w:t>A National Crane apresenta o NTC55, um caminhão guindaste evoluído com alcance e capacidade de um guindaste montado sobre caminhão comercial</w:t>
      </w:r>
    </w:p>
    <w:p w14:paraId="20A78C97" w14:textId="77777777" w:rsidR="00F86215" w:rsidRPr="001D046B" w:rsidRDefault="00F86215" w:rsidP="00B0246E">
      <w:pPr>
        <w:spacing w:line="276" w:lineRule="auto"/>
        <w:rPr>
          <w:rFonts w:ascii="Georgia" w:hAnsi="Georgia"/>
          <w:sz w:val="21"/>
          <w:szCs w:val="21"/>
        </w:rPr>
      </w:pPr>
    </w:p>
    <w:p w14:paraId="56C940AA" w14:textId="428158BA" w:rsidR="00CD5554" w:rsidRDefault="00032814" w:rsidP="00867393">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A National Crane estreou o NTC55 de </w:t>
      </w:r>
      <w:r w:rsidR="00577992">
        <w:rPr>
          <w:rFonts w:ascii="Georgia" w:hAnsi="Georgia"/>
          <w:sz w:val="21"/>
        </w:rPr>
        <w:t>50</w:t>
      </w:r>
      <w:r>
        <w:rPr>
          <w:rFonts w:ascii="Georgia" w:hAnsi="Georgia"/>
          <w:sz w:val="21"/>
        </w:rPr>
        <w:t xml:space="preserve"> t na CONEXPO 2017 em Las Vegas, Nevada, EUA. O novo modelo é uma “substituição” de caminhão guindaste que pode ser manobrada dentro de espaços de trabalho apertados tipicamente reservados a um caminhão guindaste, mas com os recursos adicionais de um guindaste montado sobre caminhão comercial para aumentar a eficiência e versatilidade para seus proprietários. O guindaste possui a configuração compacta de estabilizadores de um caminhão guindaste, mas pode também estender seus estabilizadores para proporcionar o alcance e capacidade maiores de um guindaste montado sobre caminhão comercial.</w:t>
      </w:r>
    </w:p>
    <w:p w14:paraId="01C2A25D" w14:textId="77777777" w:rsidR="00022720" w:rsidRDefault="00022720" w:rsidP="00B0246E">
      <w:pPr>
        <w:widowControl w:val="0"/>
        <w:autoSpaceDE w:val="0"/>
        <w:autoSpaceDN w:val="0"/>
        <w:adjustRightInd w:val="0"/>
        <w:spacing w:line="276" w:lineRule="auto"/>
        <w:rPr>
          <w:rFonts w:ascii="Georgia" w:hAnsi="Georgia" w:cs="Open Sans"/>
          <w:sz w:val="21"/>
          <w:szCs w:val="21"/>
        </w:rPr>
      </w:pPr>
    </w:p>
    <w:p w14:paraId="22DB6CC7" w14:textId="77777777" w:rsidR="00141FBB" w:rsidRDefault="00CC3082"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O projeto do novo guindaste foi altamente influenciado pelos clientes da Manitowoc no campo, especificamente aqueles que executam aplicações de guindaste de táxi. Muitas empresas expressaram um desejo de ter um caminhão guindaste manobrável e transportável, com capacidade de 36,3 t que pudesse também executar trabalhos de guindastes montados sobre caminhão comercial de capacidade maior que requerem uma área mais ampla para apoiar os estabilizadores. Suas solicitações também incluíram um chassi comercial mais moderno, o qual o NTC55 possui.</w:t>
      </w:r>
    </w:p>
    <w:p w14:paraId="56E8E177" w14:textId="77777777" w:rsidR="00141FBB" w:rsidRDefault="00141FBB" w:rsidP="00B0246E">
      <w:pPr>
        <w:widowControl w:val="0"/>
        <w:autoSpaceDE w:val="0"/>
        <w:autoSpaceDN w:val="0"/>
        <w:adjustRightInd w:val="0"/>
        <w:spacing w:line="276" w:lineRule="auto"/>
        <w:rPr>
          <w:rFonts w:ascii="Georgia" w:hAnsi="Georgia" w:cs="Open Sans"/>
          <w:sz w:val="21"/>
          <w:szCs w:val="21"/>
        </w:rPr>
      </w:pPr>
    </w:p>
    <w:p w14:paraId="3F1E7489" w14:textId="77777777" w:rsidR="00C933B4" w:rsidRDefault="00C933B4"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A chave para a versatilidade do NTC55 é sua habilidade de se apoiar com uma extensão reduzida de estabilizadores de 20 pés, o que acontece com caminhões guindastes tradicionais de 36,3 t. O guindaste não só atende a todos os requisitos de elevação da categoria com essa configuração, como também os ultrapassa, graças à lança principal que é 5,5 m a 10,4 m mais longa do que de caminhões guindastes concorrentes. Se o espaço permitir, o NTC55 pode estender seus estabilizadores completamente até uma extensão de 7 m, proporcionando alcance e capacidade grandemente melhorados—isso abre muitas outras oportunidades quando comparado com um caminhão guindaste montado 36,3 t tradicional.  </w:t>
      </w:r>
    </w:p>
    <w:p w14:paraId="0E69919A" w14:textId="77777777" w:rsidR="00C933B4" w:rsidRDefault="00C933B4" w:rsidP="00B0246E">
      <w:pPr>
        <w:widowControl w:val="0"/>
        <w:autoSpaceDE w:val="0"/>
        <w:autoSpaceDN w:val="0"/>
        <w:adjustRightInd w:val="0"/>
        <w:spacing w:line="276" w:lineRule="auto"/>
        <w:rPr>
          <w:rFonts w:ascii="Georgia" w:hAnsi="Georgia" w:cs="Open Sans"/>
          <w:sz w:val="21"/>
          <w:szCs w:val="21"/>
        </w:rPr>
      </w:pPr>
    </w:p>
    <w:p w14:paraId="03036EA8" w14:textId="77777777" w:rsidR="006B3108" w:rsidRDefault="00C933B4" w:rsidP="004172A6">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Esse projeto influenciado pelos clientes é um reflexo de </w:t>
      </w:r>
      <w:r>
        <w:rPr>
          <w:rFonts w:ascii="Georgia" w:hAnsi="Georgia"/>
          <w:i/>
          <w:sz w:val="21"/>
        </w:rPr>
        <w:t>O modo Manitowoc</w:t>
      </w:r>
      <w:r>
        <w:rPr>
          <w:rFonts w:ascii="Georgia" w:hAnsi="Georgia"/>
          <w:sz w:val="21"/>
        </w:rPr>
        <w:t xml:space="preserve">, a filosofia de fabricação da empresa que coloca os clientes no centro do projeto do guindaste para fornecer inovação e valor em velocidade maior. Locadoras e outros proprietários de guindastes que precisam assumir uma grande variedade de aplicações—como construção civil, montagem de aço ou instalação de HVAC—acharão o NTC55 ideal para seus propósitos. </w:t>
      </w:r>
    </w:p>
    <w:p w14:paraId="35B8CEDE" w14:textId="77777777" w:rsidR="00C933B4" w:rsidRDefault="00C933B4" w:rsidP="004172A6">
      <w:pPr>
        <w:widowControl w:val="0"/>
        <w:autoSpaceDE w:val="0"/>
        <w:autoSpaceDN w:val="0"/>
        <w:adjustRightInd w:val="0"/>
        <w:spacing w:line="276" w:lineRule="auto"/>
        <w:rPr>
          <w:rFonts w:ascii="Georgia" w:hAnsi="Georgia" w:cs="Open Sans"/>
          <w:sz w:val="21"/>
          <w:szCs w:val="21"/>
        </w:rPr>
      </w:pPr>
    </w:p>
    <w:p w14:paraId="0DE4D818" w14:textId="5FF29130" w:rsidR="00EE4A40" w:rsidRDefault="00581EEF"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“Versatilidade é importante para nossa base de clientes”, disse Justin Pilgrim, diretor global de produtos para guindastes montados sobre caminhão comercial e guindastes industriais na Manitowoc. “Eles precisam ser capazes de permanecer ágeis e enfrentar uma grande variedade de trabalhos sem estar limitados por restrições de locais de trabalho apertados. O NTC55 não somente fará o trabalho de um guindaste montado sobre caminhão comercial de </w:t>
      </w:r>
      <w:r w:rsidR="00577992">
        <w:rPr>
          <w:rFonts w:ascii="Georgia" w:hAnsi="Georgia"/>
          <w:sz w:val="21"/>
        </w:rPr>
        <w:t>50</w:t>
      </w:r>
      <w:r>
        <w:rPr>
          <w:rFonts w:ascii="Georgia" w:hAnsi="Georgia"/>
          <w:sz w:val="21"/>
        </w:rPr>
        <w:t xml:space="preserve"> t quando o espaço permitir, mas excederá as capacidades de um caminhão guindaste de 36,3 t com sua capacidade de 45 t em uma extensão reduzida de estabilizadores de 6,1 m, tudo isso enquanto oferece uma ótima </w:t>
      </w:r>
      <w:r>
        <w:rPr>
          <w:rFonts w:ascii="Georgia" w:hAnsi="Georgia"/>
          <w:sz w:val="21"/>
        </w:rPr>
        <w:lastRenderedPageBreak/>
        <w:t xml:space="preserve">experiência ao operador graças a um conjunto de recursos modernos.” </w:t>
      </w:r>
    </w:p>
    <w:p w14:paraId="1F42D91A" w14:textId="77777777" w:rsidR="00EE4A40" w:rsidRDefault="00EE4A40" w:rsidP="00B0246E">
      <w:pPr>
        <w:widowControl w:val="0"/>
        <w:autoSpaceDE w:val="0"/>
        <w:autoSpaceDN w:val="0"/>
        <w:adjustRightInd w:val="0"/>
        <w:spacing w:line="276" w:lineRule="auto"/>
        <w:rPr>
          <w:rFonts w:ascii="Georgia" w:hAnsi="Georgia" w:cs="Open Sans"/>
          <w:sz w:val="21"/>
          <w:szCs w:val="21"/>
        </w:rPr>
      </w:pPr>
    </w:p>
    <w:p w14:paraId="628F7FC1" w14:textId="77777777" w:rsidR="00EE4A40" w:rsidRDefault="002328F8" w:rsidP="00B0246E">
      <w:pPr>
        <w:widowControl w:val="0"/>
        <w:autoSpaceDE w:val="0"/>
        <w:autoSpaceDN w:val="0"/>
        <w:adjustRightInd w:val="0"/>
        <w:spacing w:line="276" w:lineRule="auto"/>
        <w:outlineLvl w:val="0"/>
        <w:rPr>
          <w:rFonts w:ascii="Georgia" w:hAnsi="Georgia" w:cs="Open Sans"/>
          <w:b/>
          <w:sz w:val="21"/>
          <w:szCs w:val="21"/>
        </w:rPr>
      </w:pPr>
      <w:r>
        <w:rPr>
          <w:rFonts w:ascii="Georgia" w:hAnsi="Georgia"/>
          <w:b/>
          <w:sz w:val="21"/>
        </w:rPr>
        <w:t>Foco na flexibilidade</w:t>
      </w:r>
    </w:p>
    <w:p w14:paraId="3624E9A1" w14:textId="77777777" w:rsidR="00EE4A40" w:rsidRDefault="00EE4A40" w:rsidP="00B0246E">
      <w:pPr>
        <w:widowControl w:val="0"/>
        <w:autoSpaceDE w:val="0"/>
        <w:autoSpaceDN w:val="0"/>
        <w:adjustRightInd w:val="0"/>
        <w:spacing w:line="276" w:lineRule="auto"/>
        <w:rPr>
          <w:rFonts w:ascii="Georgia" w:hAnsi="Georgia" w:cs="Open Sans"/>
          <w:b/>
          <w:sz w:val="21"/>
          <w:szCs w:val="21"/>
        </w:rPr>
      </w:pPr>
    </w:p>
    <w:p w14:paraId="41238926" w14:textId="77777777" w:rsidR="00581EEF" w:rsidRDefault="00615570"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O NTC55 pode operar quando configurado em uma destas quatro posições de estabilizadores: 100%, 75%, 50% e totalmente retraídos. Em 75%, os estabilizadores atingem uma extensão de 6,1 m, permitindo que o NTC55 reproduza o desempenho de caminhões guindastes de 36,3 t de concorrentes. Isso torna o guindaste útil em locais apertados de ambientes urbanos, por exemplo, onde nem sempre é possível fechar faixas de trânsito. Além disso, o exclusivo formato em “X” do espaço ocupado pelos estabilizadores dianteiros elimina a necessidade de um estabilizador dianteiro exclusivo, economizando tempo de configuração adicional em locais de trabalhos restritos. Reduzindo ainda mais o tempo de preparação e a fadiga do operador estão as patolas de estabilizadores poliméricas padrão que reduzem o peso em 30% e oferecem uma proteção antifurto adicional no local de trabalho. </w:t>
      </w:r>
    </w:p>
    <w:p w14:paraId="0B515179" w14:textId="77777777" w:rsidR="006D0DAC" w:rsidRDefault="006D0DAC" w:rsidP="00B0246E">
      <w:pPr>
        <w:widowControl w:val="0"/>
        <w:autoSpaceDE w:val="0"/>
        <w:autoSpaceDN w:val="0"/>
        <w:adjustRightInd w:val="0"/>
        <w:spacing w:line="276" w:lineRule="auto"/>
        <w:rPr>
          <w:rFonts w:ascii="Georgia" w:hAnsi="Georgia" w:cs="Open Sans"/>
          <w:sz w:val="21"/>
          <w:szCs w:val="21"/>
        </w:rPr>
      </w:pPr>
    </w:p>
    <w:p w14:paraId="49AF3A31" w14:textId="77777777" w:rsidR="0076213F" w:rsidRDefault="00B5120C"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O NTC55 oferece um sistema padrão de contrapeso autorremovível hidraulicamente que consiste de uma placa de contrapeso de 3000 lb e dois contrapesos menores de 1250 lb, proporcionando ao guindaste maior flexibilidade na rodagem. Se os limites de peso por eixo em uma determinada área forem particularmente rigorosos ou se um usuário final não puder conduzir o guindaste com o peso total, o contrapeso pode ser removido hidraulicamente no próprio veículo para transporte. </w:t>
      </w:r>
    </w:p>
    <w:p w14:paraId="62583C38" w14:textId="77777777" w:rsidR="003C38DE" w:rsidRDefault="003C38DE" w:rsidP="00B0246E">
      <w:pPr>
        <w:widowControl w:val="0"/>
        <w:autoSpaceDE w:val="0"/>
        <w:autoSpaceDN w:val="0"/>
        <w:adjustRightInd w:val="0"/>
        <w:spacing w:line="276" w:lineRule="auto"/>
        <w:rPr>
          <w:rFonts w:ascii="Georgia" w:hAnsi="Georgia" w:cs="Open Sans"/>
          <w:sz w:val="21"/>
          <w:szCs w:val="21"/>
        </w:rPr>
      </w:pPr>
    </w:p>
    <w:p w14:paraId="6E0B290D" w14:textId="77777777" w:rsidR="00FA5F1D" w:rsidRDefault="00B5120C"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Duas opções de jib estão disponíveis no NTC55: um jib deslocável com comprimento fixo de 26 ft e um jib telescópico deslocável manualmente de duas seções que pode ser ajustado de 8 m a 14 m. Quando comparado com guindastes montados em caminhão de 36,3 t de concorrentes, a lança principal de 39 m do NTC55 é até 10,4 m mais longa, e o desempenho de operação é sólido como rocha graças a um transportador mais rijo e resistente a torção com menos flexão e retorção do que a média de guindastes montados sobre caminhão comercial.</w:t>
      </w:r>
    </w:p>
    <w:p w14:paraId="3D32C977" w14:textId="77777777" w:rsidR="003C38DE" w:rsidRDefault="003C38DE" w:rsidP="00B0246E">
      <w:pPr>
        <w:widowControl w:val="0"/>
        <w:autoSpaceDE w:val="0"/>
        <w:autoSpaceDN w:val="0"/>
        <w:adjustRightInd w:val="0"/>
        <w:spacing w:line="276" w:lineRule="auto"/>
        <w:rPr>
          <w:rFonts w:ascii="Georgia" w:hAnsi="Georgia" w:cs="Open Sans"/>
          <w:sz w:val="21"/>
          <w:szCs w:val="21"/>
        </w:rPr>
      </w:pPr>
    </w:p>
    <w:p w14:paraId="6067A9E1" w14:textId="77777777" w:rsidR="003C38DE" w:rsidRDefault="003C38DE" w:rsidP="003C38DE">
      <w:pPr>
        <w:widowControl w:val="0"/>
        <w:autoSpaceDE w:val="0"/>
        <w:autoSpaceDN w:val="0"/>
        <w:adjustRightInd w:val="0"/>
        <w:spacing w:line="276" w:lineRule="auto"/>
        <w:rPr>
          <w:rFonts w:ascii="Georgia" w:hAnsi="Georgia" w:cs="Open Sans"/>
          <w:sz w:val="21"/>
          <w:szCs w:val="21"/>
        </w:rPr>
      </w:pPr>
      <w:r>
        <w:rPr>
          <w:rFonts w:ascii="Georgia" w:hAnsi="Georgia"/>
          <w:sz w:val="21"/>
        </w:rPr>
        <w:t>O NTC55 é o primeiro National Crane a ter uma cabine do operador inclinável hidraulicamente 20°, permitindo maior conforto, conveniência e visibilidade da carga. Combinado com o ângulo máximo da lança de 80°, o NTC55 é uma solução de elevação sólida para aplicações como instalação de HVAC, onde é crucial manter a visibilidade da carga. Um ótimo chassi de caminhão comercial de quatro eixos altamente personalizável e ultraconfortável é padrão de fábrica.</w:t>
      </w:r>
    </w:p>
    <w:p w14:paraId="03ECF9CE" w14:textId="77777777" w:rsidR="008C527B" w:rsidRDefault="008C527B" w:rsidP="00B0246E">
      <w:pPr>
        <w:widowControl w:val="0"/>
        <w:autoSpaceDE w:val="0"/>
        <w:autoSpaceDN w:val="0"/>
        <w:adjustRightInd w:val="0"/>
        <w:spacing w:line="276" w:lineRule="auto"/>
        <w:rPr>
          <w:rFonts w:ascii="Georgia" w:hAnsi="Georgia" w:cs="Open Sans"/>
          <w:sz w:val="21"/>
          <w:szCs w:val="21"/>
        </w:rPr>
      </w:pPr>
    </w:p>
    <w:p w14:paraId="3537F7E1" w14:textId="77777777" w:rsidR="007E1661" w:rsidRDefault="008C527B"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O NTC55 também faz uso do RCL (Limitador de capacidade nominal) patenteado e totalmente integrado da National Crane e o sistema de controle para facilidade de configuração. Outros recursos líderes da categoria incluem velocidades ajustáveis por joystick, diagnósticos integrados, atualizações em tempo real do status do caminhão que incluem notificação de regeneração e capacidades de serviço—tudo isso sem a necessidade de um laptop. Várias opções de melhoria de utilidade e soluções de elevação personalizadas estão disponíveis, como um guindaste auxiliar, um controle remoto por rádio sem fio, um sistema anticolisão do moitão e/ou um indicador de velocidade do vento.</w:t>
      </w:r>
    </w:p>
    <w:p w14:paraId="3F2D3460" w14:textId="77777777" w:rsidR="004172A6" w:rsidRDefault="004172A6" w:rsidP="00B0246E">
      <w:pPr>
        <w:widowControl w:val="0"/>
        <w:autoSpaceDE w:val="0"/>
        <w:autoSpaceDN w:val="0"/>
        <w:adjustRightInd w:val="0"/>
        <w:spacing w:line="276" w:lineRule="auto"/>
        <w:rPr>
          <w:rFonts w:ascii="Georgia" w:hAnsi="Georgia" w:cs="Open Sans"/>
          <w:sz w:val="21"/>
          <w:szCs w:val="21"/>
        </w:rPr>
      </w:pPr>
    </w:p>
    <w:p w14:paraId="443F2536" w14:textId="77777777" w:rsidR="00FA5F1D" w:rsidRPr="00581EEF" w:rsidRDefault="00FA5F1D"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“Um guindaste de táxi padrão na locadora pode executar 10 trabalhos por dia”, explicou Pilgrim. </w:t>
      </w:r>
      <w:r>
        <w:rPr>
          <w:rFonts w:ascii="Georgia" w:hAnsi="Georgia"/>
          <w:sz w:val="21"/>
        </w:rPr>
        <w:lastRenderedPageBreak/>
        <w:t>“Nossa meta com o NTC55 é fornecer aos clientes a versatilidade e o conformo ao operador melhorado para lidar com um alto volume de trabalhos, mas também manter a porta aberta a outro trabalho de maior capacidade — o trabalho de um caminhão guindaste ou um guindaste montado sobre caminhão comercial. Nossos clientes trabalham duro e agora, mais do que nunca, precisam ter a capacidade de lidar com qualquer trabalho que possam receber. O NTC55 permite que agarrem os trabalhos de duas máquinas com somente uma.”</w:t>
      </w:r>
    </w:p>
    <w:p w14:paraId="45835665" w14:textId="77777777" w:rsidR="00581EEF" w:rsidRDefault="00581EEF" w:rsidP="00B0246E">
      <w:pPr>
        <w:widowControl w:val="0"/>
        <w:autoSpaceDE w:val="0"/>
        <w:autoSpaceDN w:val="0"/>
        <w:adjustRightInd w:val="0"/>
        <w:spacing w:line="276" w:lineRule="auto"/>
        <w:rPr>
          <w:rFonts w:ascii="Georgia" w:hAnsi="Georgia" w:cs="Open Sans"/>
          <w:b/>
          <w:sz w:val="21"/>
          <w:szCs w:val="21"/>
        </w:rPr>
      </w:pPr>
    </w:p>
    <w:p w14:paraId="5A9628FF" w14:textId="77777777" w:rsidR="00932F3F" w:rsidRDefault="00932F3F" w:rsidP="00B0246E">
      <w:pPr>
        <w:widowControl w:val="0"/>
        <w:autoSpaceDE w:val="0"/>
        <w:autoSpaceDN w:val="0"/>
        <w:adjustRightInd w:val="0"/>
        <w:spacing w:line="276" w:lineRule="auto"/>
        <w:rPr>
          <w:rFonts w:ascii="Georgia" w:hAnsi="Georgia" w:cs="Open Sans"/>
          <w:b/>
          <w:sz w:val="21"/>
          <w:szCs w:val="21"/>
        </w:rPr>
      </w:pPr>
    </w:p>
    <w:p w14:paraId="4DAFA357" w14:textId="77777777" w:rsidR="00932F3F" w:rsidRDefault="00932F3F" w:rsidP="00932F3F">
      <w:pPr>
        <w:tabs>
          <w:tab w:val="left" w:pos="3969"/>
        </w:tabs>
        <w:spacing w:line="276" w:lineRule="auto"/>
        <w:rPr>
          <w:rFonts w:ascii="Verdana" w:hAnsi="Verdana"/>
          <w:b/>
          <w:color w:val="41525C"/>
          <w:sz w:val="18"/>
          <w:szCs w:val="18"/>
        </w:rPr>
      </w:pPr>
      <w:r>
        <w:rPr>
          <w:rFonts w:ascii="Verdana" w:hAnsi="Verdana"/>
          <w:color w:val="ED1C2A"/>
          <w:sz w:val="18"/>
        </w:rPr>
        <w:t>CONTATO</w:t>
      </w:r>
      <w:r>
        <w:rPr>
          <w:rFonts w:ascii="Verdana" w:hAnsi="Verdana"/>
          <w:b/>
          <w:color w:val="41525C"/>
          <w:sz w:val="18"/>
          <w:szCs w:val="18"/>
        </w:rPr>
        <w:t xml:space="preserve"> </w:t>
      </w:r>
    </w:p>
    <w:p w14:paraId="661A1F3D" w14:textId="77777777" w:rsidR="00932F3F" w:rsidRDefault="00932F3F" w:rsidP="00932F3F">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132D50D0" w14:textId="77777777" w:rsidR="00932F3F" w:rsidRDefault="00932F3F" w:rsidP="00932F3F">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4C81F362" w14:textId="77777777" w:rsidR="00932F3F" w:rsidRDefault="00932F3F" w:rsidP="00932F3F">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3062DCCE" w14:textId="77777777" w:rsidR="00932F3F" w:rsidRDefault="00D8043D" w:rsidP="00932F3F">
      <w:pPr>
        <w:tabs>
          <w:tab w:val="left" w:pos="1055"/>
          <w:tab w:val="left" w:pos="3969"/>
          <w:tab w:val="left" w:pos="6379"/>
          <w:tab w:val="left" w:pos="7371"/>
        </w:tabs>
        <w:spacing w:line="276" w:lineRule="auto"/>
        <w:rPr>
          <w:rFonts w:ascii="Verdana" w:hAnsi="Verdana"/>
          <w:b/>
          <w:color w:val="41525C"/>
          <w:sz w:val="18"/>
          <w:szCs w:val="18"/>
        </w:rPr>
      </w:pPr>
      <w:hyperlink r:id="rId9" w:history="1">
        <w:r w:rsidR="00932F3F">
          <w:rPr>
            <w:rStyle w:val="Hyperlink"/>
            <w:rFonts w:ascii="Verdana" w:hAnsi="Verdana"/>
            <w:color w:val="41525C"/>
            <w:sz w:val="18"/>
            <w:szCs w:val="18"/>
          </w:rPr>
          <w:t>amy.marten@manitowoc.com</w:t>
        </w:r>
      </w:hyperlink>
      <w:r w:rsidR="00932F3F">
        <w:rPr>
          <w:rFonts w:ascii="Verdana" w:hAnsi="Verdana"/>
          <w:color w:val="41525C"/>
          <w:sz w:val="18"/>
          <w:szCs w:val="18"/>
        </w:rPr>
        <w:tab/>
      </w:r>
      <w:hyperlink r:id="rId10" w:history="1">
        <w:r w:rsidR="00932F3F">
          <w:rPr>
            <w:rStyle w:val="Hyperlink"/>
            <w:rFonts w:ascii="Verdana" w:hAnsi="Verdana"/>
            <w:color w:val="41525C"/>
            <w:sz w:val="18"/>
            <w:szCs w:val="18"/>
          </w:rPr>
          <w:t>damian.joseph@se10.com</w:t>
        </w:r>
      </w:hyperlink>
    </w:p>
    <w:p w14:paraId="5BBD9B62" w14:textId="77777777" w:rsidR="00932F3F" w:rsidRDefault="00932F3F" w:rsidP="00932F3F">
      <w:pPr>
        <w:tabs>
          <w:tab w:val="left" w:pos="1055"/>
          <w:tab w:val="left" w:pos="4111"/>
          <w:tab w:val="left" w:pos="5812"/>
          <w:tab w:val="left" w:pos="7371"/>
        </w:tabs>
        <w:spacing w:line="276" w:lineRule="auto"/>
        <w:jc w:val="center"/>
        <w:rPr>
          <w:rFonts w:ascii="Georgia" w:hAnsi="Georgia" w:cs="Georgia"/>
          <w:sz w:val="21"/>
          <w:szCs w:val="21"/>
        </w:rPr>
      </w:pPr>
    </w:p>
    <w:p w14:paraId="13FEE28F" w14:textId="77777777" w:rsidR="00932F3F" w:rsidRDefault="00932F3F" w:rsidP="00932F3F">
      <w:pPr>
        <w:tabs>
          <w:tab w:val="left" w:pos="1055"/>
          <w:tab w:val="left" w:pos="4111"/>
          <w:tab w:val="left" w:pos="5812"/>
          <w:tab w:val="left" w:pos="7371"/>
        </w:tabs>
        <w:spacing w:line="276" w:lineRule="auto"/>
        <w:jc w:val="center"/>
        <w:rPr>
          <w:rFonts w:ascii="Georgia" w:hAnsi="Georgia" w:cs="Georgia"/>
          <w:sz w:val="21"/>
          <w:szCs w:val="21"/>
        </w:rPr>
      </w:pPr>
    </w:p>
    <w:p w14:paraId="34464744" w14:textId="77777777" w:rsidR="00932F3F" w:rsidRPr="00D41863" w:rsidRDefault="00932F3F" w:rsidP="00932F3F">
      <w:pPr>
        <w:spacing w:line="276" w:lineRule="auto"/>
        <w:rPr>
          <w:rFonts w:ascii="Verdana" w:hAnsi="Verdana" w:cs="Verdana"/>
          <w:color w:val="41525C"/>
          <w:sz w:val="18"/>
          <w:szCs w:val="18"/>
          <w:lang w:val="en-US" w:eastAsia="en-US" w:bidi="ar-SA"/>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sidRPr="00D41863">
        <w:rPr>
          <w:rFonts w:ascii="Verdana" w:hAnsi="Verdana" w:cs="Verdana"/>
          <w:color w:val="41525C"/>
          <w:sz w:val="18"/>
          <w:szCs w:val="18"/>
          <w:lang w:val="en-US" w:eastAsia="en-US" w:bidi="ar-SA"/>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0728C1D7" w14:textId="77777777" w:rsidR="00932F3F" w:rsidRPr="00CD6A67" w:rsidRDefault="00932F3F" w:rsidP="00932F3F">
      <w:pPr>
        <w:spacing w:line="276" w:lineRule="auto"/>
        <w:rPr>
          <w:rFonts w:ascii="Verdana" w:hAnsi="Verdana"/>
          <w:color w:val="41525C"/>
          <w:sz w:val="18"/>
          <w:szCs w:val="18"/>
        </w:rPr>
      </w:pPr>
    </w:p>
    <w:p w14:paraId="41A1092E" w14:textId="77777777" w:rsidR="00932F3F" w:rsidRPr="00CD6A67" w:rsidRDefault="00932F3F" w:rsidP="00932F3F">
      <w:pPr>
        <w:spacing w:line="276" w:lineRule="auto"/>
        <w:rPr>
          <w:rFonts w:ascii="Verdana" w:hAnsi="Verdana"/>
          <w:color w:val="ED1C2A"/>
          <w:sz w:val="18"/>
          <w:szCs w:val="18"/>
        </w:rPr>
      </w:pPr>
    </w:p>
    <w:p w14:paraId="07CF6772" w14:textId="77777777" w:rsidR="00577992" w:rsidRPr="00A678F4" w:rsidRDefault="00577992" w:rsidP="00577992">
      <w:pPr>
        <w:spacing w:line="276" w:lineRule="auto"/>
        <w:outlineLvl w:val="0"/>
        <w:rPr>
          <w:sz w:val="18"/>
          <w:szCs w:val="18"/>
        </w:rPr>
      </w:pPr>
      <w:r>
        <w:rPr>
          <w:rFonts w:ascii="Verdana" w:hAnsi="Verdana"/>
          <w:color w:val="ED1C2A"/>
          <w:sz w:val="18"/>
          <w:szCs w:val="18"/>
        </w:rPr>
        <w:t>THE MANITOWOC COMPANY, INC.</w:t>
      </w:r>
    </w:p>
    <w:p w14:paraId="3AC0437A" w14:textId="4765894E" w:rsidR="00577992" w:rsidRPr="00A678F4" w:rsidRDefault="00577992" w:rsidP="00577992">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bookmarkStart w:id="0" w:name="_GoBack"/>
      <w:bookmarkEnd w:id="0"/>
    </w:p>
    <w:p w14:paraId="7CE96899" w14:textId="77777777" w:rsidR="00577992" w:rsidRPr="00A678F4" w:rsidRDefault="00577992" w:rsidP="00577992">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215EA826" w14:textId="77777777" w:rsidR="00577992" w:rsidRPr="00A44D46" w:rsidRDefault="00577992" w:rsidP="00577992">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0966FE4D" w14:textId="77B8CE4D" w:rsidR="00932F3F" w:rsidRPr="006A69FE" w:rsidRDefault="00932F3F" w:rsidP="00932F3F">
      <w:pPr>
        <w:spacing w:line="276" w:lineRule="auto"/>
        <w:rPr>
          <w:rFonts w:ascii="Georgia" w:hAnsi="Georgia" w:cs="Georgia"/>
          <w:sz w:val="21"/>
          <w:szCs w:val="21"/>
        </w:rPr>
      </w:pPr>
    </w:p>
    <w:p w14:paraId="4F368133" w14:textId="77777777" w:rsidR="00932F3F" w:rsidRPr="00EE4A40" w:rsidRDefault="00932F3F" w:rsidP="00B0246E">
      <w:pPr>
        <w:widowControl w:val="0"/>
        <w:autoSpaceDE w:val="0"/>
        <w:autoSpaceDN w:val="0"/>
        <w:adjustRightInd w:val="0"/>
        <w:spacing w:line="276" w:lineRule="auto"/>
        <w:rPr>
          <w:rFonts w:ascii="Georgia" w:hAnsi="Georgia" w:cs="Open Sans"/>
          <w:b/>
          <w:sz w:val="21"/>
          <w:szCs w:val="21"/>
        </w:rPr>
      </w:pPr>
    </w:p>
    <w:sectPr w:rsidR="00932F3F" w:rsidRPr="00EE4A40"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DC36A" w14:textId="77777777" w:rsidR="00D8043D" w:rsidRDefault="00D8043D">
      <w:r>
        <w:separator/>
      </w:r>
    </w:p>
  </w:endnote>
  <w:endnote w:type="continuationSeparator" w:id="0">
    <w:p w14:paraId="05293A0F" w14:textId="77777777" w:rsidR="00D8043D" w:rsidRDefault="00D8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swiss"/>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1FD8D" w14:textId="77777777" w:rsidR="00D8043D" w:rsidRDefault="00D8043D">
      <w:r>
        <w:separator/>
      </w:r>
    </w:p>
  </w:footnote>
  <w:footnote w:type="continuationSeparator" w:id="0">
    <w:p w14:paraId="56BC2AA2" w14:textId="77777777" w:rsidR="00D8043D" w:rsidRDefault="00D804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20A41" w14:textId="77777777" w:rsidR="00B5120C" w:rsidRDefault="00B5120C" w:rsidP="00163032">
    <w:pPr>
      <w:spacing w:line="276" w:lineRule="auto"/>
      <w:rPr>
        <w:rFonts w:ascii="Verdana" w:hAnsi="Verdana"/>
        <w:b/>
        <w:color w:val="41525C"/>
        <w:sz w:val="18"/>
        <w:szCs w:val="18"/>
      </w:rPr>
    </w:pPr>
    <w:r>
      <w:rPr>
        <w:rFonts w:ascii="Verdana" w:hAnsi="Verdana"/>
        <w:b/>
        <w:color w:val="41525C"/>
        <w:sz w:val="18"/>
      </w:rPr>
      <w:t>A National Crane apresenta o NTC55, um caminhão guindaste com alcance e capacidade de um guindaste montado sobre caminhão comercial</w:t>
    </w:r>
  </w:p>
  <w:p w14:paraId="7490224C" w14:textId="77777777" w:rsidR="00C933B4" w:rsidRPr="00164A29" w:rsidRDefault="00172D6A" w:rsidP="00163032">
    <w:pPr>
      <w:spacing w:line="276" w:lineRule="auto"/>
      <w:rPr>
        <w:rFonts w:ascii="Verdana" w:hAnsi="Verdana"/>
        <w:color w:val="ED1C2A"/>
        <w:sz w:val="18"/>
        <w:szCs w:val="18"/>
      </w:rPr>
    </w:pPr>
    <w:r>
      <w:rPr>
        <w:rFonts w:ascii="Verdana" w:hAnsi="Verdana"/>
        <w:color w:val="41525C"/>
        <w:sz w:val="18"/>
      </w:rPr>
      <w:t>7 de março de 2017</w:t>
    </w:r>
  </w:p>
  <w:p w14:paraId="5880B0C6" w14:textId="77777777" w:rsidR="00C933B4" w:rsidRPr="003E31C0" w:rsidRDefault="00C933B4" w:rsidP="00163032">
    <w:pPr>
      <w:spacing w:line="276" w:lineRule="auto"/>
      <w:rPr>
        <w:rFonts w:ascii="Verdana" w:hAnsi="Verdana"/>
        <w:sz w:val="16"/>
        <w:szCs w:val="16"/>
      </w:rPr>
    </w:pPr>
  </w:p>
  <w:p w14:paraId="5C0A7CD0" w14:textId="77777777" w:rsidR="00C933B4" w:rsidRDefault="00C933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72C9"/>
    <w:rsid w:val="00022720"/>
    <w:rsid w:val="00022E8A"/>
    <w:rsid w:val="000306B2"/>
    <w:rsid w:val="00030BEE"/>
    <w:rsid w:val="00032814"/>
    <w:rsid w:val="00033A4B"/>
    <w:rsid w:val="00034578"/>
    <w:rsid w:val="00035822"/>
    <w:rsid w:val="00042F47"/>
    <w:rsid w:val="00046012"/>
    <w:rsid w:val="00046040"/>
    <w:rsid w:val="0005150F"/>
    <w:rsid w:val="00051CCE"/>
    <w:rsid w:val="00051F75"/>
    <w:rsid w:val="00052603"/>
    <w:rsid w:val="0005270E"/>
    <w:rsid w:val="00053C35"/>
    <w:rsid w:val="00055F23"/>
    <w:rsid w:val="000565FA"/>
    <w:rsid w:val="00062831"/>
    <w:rsid w:val="00065A26"/>
    <w:rsid w:val="00065B21"/>
    <w:rsid w:val="00070802"/>
    <w:rsid w:val="0007116F"/>
    <w:rsid w:val="00071EEB"/>
    <w:rsid w:val="000725FB"/>
    <w:rsid w:val="00075EDE"/>
    <w:rsid w:val="000819C1"/>
    <w:rsid w:val="0008353F"/>
    <w:rsid w:val="00083F23"/>
    <w:rsid w:val="00084547"/>
    <w:rsid w:val="00085502"/>
    <w:rsid w:val="00085F09"/>
    <w:rsid w:val="000869EE"/>
    <w:rsid w:val="000A6A98"/>
    <w:rsid w:val="000A75DA"/>
    <w:rsid w:val="000B100B"/>
    <w:rsid w:val="000B168F"/>
    <w:rsid w:val="000B374E"/>
    <w:rsid w:val="000B4AA8"/>
    <w:rsid w:val="000B4D86"/>
    <w:rsid w:val="000C0256"/>
    <w:rsid w:val="000C0FA0"/>
    <w:rsid w:val="000C12EC"/>
    <w:rsid w:val="000C672F"/>
    <w:rsid w:val="000D5C73"/>
    <w:rsid w:val="000D6434"/>
    <w:rsid w:val="000D7310"/>
    <w:rsid w:val="000E0422"/>
    <w:rsid w:val="000E1612"/>
    <w:rsid w:val="000E44DA"/>
    <w:rsid w:val="000E58A4"/>
    <w:rsid w:val="000E7485"/>
    <w:rsid w:val="000E7738"/>
    <w:rsid w:val="000F1895"/>
    <w:rsid w:val="000F29AF"/>
    <w:rsid w:val="000F5526"/>
    <w:rsid w:val="000F5735"/>
    <w:rsid w:val="000F5D22"/>
    <w:rsid w:val="001112E6"/>
    <w:rsid w:val="00114403"/>
    <w:rsid w:val="00120BC3"/>
    <w:rsid w:val="001222FA"/>
    <w:rsid w:val="00127FF4"/>
    <w:rsid w:val="00133817"/>
    <w:rsid w:val="00134A73"/>
    <w:rsid w:val="00135954"/>
    <w:rsid w:val="00137100"/>
    <w:rsid w:val="00141124"/>
    <w:rsid w:val="00141C80"/>
    <w:rsid w:val="00141FBB"/>
    <w:rsid w:val="001421D9"/>
    <w:rsid w:val="00150CEC"/>
    <w:rsid w:val="00151D19"/>
    <w:rsid w:val="00151EA8"/>
    <w:rsid w:val="00155AE5"/>
    <w:rsid w:val="00161340"/>
    <w:rsid w:val="0016137E"/>
    <w:rsid w:val="00163032"/>
    <w:rsid w:val="00164180"/>
    <w:rsid w:val="00164A29"/>
    <w:rsid w:val="00167918"/>
    <w:rsid w:val="00171709"/>
    <w:rsid w:val="00172238"/>
    <w:rsid w:val="00172D6A"/>
    <w:rsid w:val="001768CF"/>
    <w:rsid w:val="00181F48"/>
    <w:rsid w:val="00182A78"/>
    <w:rsid w:val="00183989"/>
    <w:rsid w:val="00187083"/>
    <w:rsid w:val="001870F8"/>
    <w:rsid w:val="0019066A"/>
    <w:rsid w:val="00190E92"/>
    <w:rsid w:val="001911B3"/>
    <w:rsid w:val="00195264"/>
    <w:rsid w:val="00195612"/>
    <w:rsid w:val="001A0203"/>
    <w:rsid w:val="001A13BA"/>
    <w:rsid w:val="001A16D3"/>
    <w:rsid w:val="001A2045"/>
    <w:rsid w:val="001A521F"/>
    <w:rsid w:val="001A59FC"/>
    <w:rsid w:val="001A6571"/>
    <w:rsid w:val="001A65C1"/>
    <w:rsid w:val="001A6921"/>
    <w:rsid w:val="001A7332"/>
    <w:rsid w:val="001B1687"/>
    <w:rsid w:val="001B188B"/>
    <w:rsid w:val="001B2EC3"/>
    <w:rsid w:val="001B54D3"/>
    <w:rsid w:val="001C0797"/>
    <w:rsid w:val="001C1C70"/>
    <w:rsid w:val="001C1EAE"/>
    <w:rsid w:val="001C3608"/>
    <w:rsid w:val="001C6DCC"/>
    <w:rsid w:val="001D046B"/>
    <w:rsid w:val="001D5B76"/>
    <w:rsid w:val="001D7FC6"/>
    <w:rsid w:val="001E23EF"/>
    <w:rsid w:val="001E4088"/>
    <w:rsid w:val="001E7EB7"/>
    <w:rsid w:val="001F0832"/>
    <w:rsid w:val="001F2A82"/>
    <w:rsid w:val="001F452D"/>
    <w:rsid w:val="001F5217"/>
    <w:rsid w:val="001F544B"/>
    <w:rsid w:val="001F7754"/>
    <w:rsid w:val="0020131D"/>
    <w:rsid w:val="00201646"/>
    <w:rsid w:val="0020233A"/>
    <w:rsid w:val="002046A6"/>
    <w:rsid w:val="00207B61"/>
    <w:rsid w:val="00210135"/>
    <w:rsid w:val="0022144C"/>
    <w:rsid w:val="002224E9"/>
    <w:rsid w:val="00222A4F"/>
    <w:rsid w:val="002235B3"/>
    <w:rsid w:val="0022453C"/>
    <w:rsid w:val="002252D3"/>
    <w:rsid w:val="0022662C"/>
    <w:rsid w:val="00231F98"/>
    <w:rsid w:val="002328F8"/>
    <w:rsid w:val="00235157"/>
    <w:rsid w:val="00242BFB"/>
    <w:rsid w:val="002436CE"/>
    <w:rsid w:val="00246C58"/>
    <w:rsid w:val="002507C8"/>
    <w:rsid w:val="0025349B"/>
    <w:rsid w:val="00254A5B"/>
    <w:rsid w:val="00255310"/>
    <w:rsid w:val="002559DC"/>
    <w:rsid w:val="00256053"/>
    <w:rsid w:val="00257B5D"/>
    <w:rsid w:val="00261AAD"/>
    <w:rsid w:val="00262E27"/>
    <w:rsid w:val="00262FC7"/>
    <w:rsid w:val="0026422B"/>
    <w:rsid w:val="00270145"/>
    <w:rsid w:val="002753ED"/>
    <w:rsid w:val="0027658A"/>
    <w:rsid w:val="002821D4"/>
    <w:rsid w:val="0028288C"/>
    <w:rsid w:val="00285F5F"/>
    <w:rsid w:val="00286843"/>
    <w:rsid w:val="00287E07"/>
    <w:rsid w:val="00291708"/>
    <w:rsid w:val="002942F9"/>
    <w:rsid w:val="00294477"/>
    <w:rsid w:val="00294C07"/>
    <w:rsid w:val="0029600C"/>
    <w:rsid w:val="002973F4"/>
    <w:rsid w:val="0029799F"/>
    <w:rsid w:val="002A396C"/>
    <w:rsid w:val="002A57B3"/>
    <w:rsid w:val="002A6CBE"/>
    <w:rsid w:val="002A730A"/>
    <w:rsid w:val="002B11B7"/>
    <w:rsid w:val="002B36D3"/>
    <w:rsid w:val="002B3CD6"/>
    <w:rsid w:val="002B4131"/>
    <w:rsid w:val="002B5023"/>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6B0C"/>
    <w:rsid w:val="003077F1"/>
    <w:rsid w:val="00311F6C"/>
    <w:rsid w:val="003125D3"/>
    <w:rsid w:val="00313457"/>
    <w:rsid w:val="00313877"/>
    <w:rsid w:val="00321840"/>
    <w:rsid w:val="00326A6B"/>
    <w:rsid w:val="00327916"/>
    <w:rsid w:val="00331D32"/>
    <w:rsid w:val="00337D40"/>
    <w:rsid w:val="00340800"/>
    <w:rsid w:val="00341A80"/>
    <w:rsid w:val="00341DF2"/>
    <w:rsid w:val="003421C9"/>
    <w:rsid w:val="00343FEA"/>
    <w:rsid w:val="0034682F"/>
    <w:rsid w:val="00351AF9"/>
    <w:rsid w:val="00352A80"/>
    <w:rsid w:val="003541F0"/>
    <w:rsid w:val="00356804"/>
    <w:rsid w:val="003573ED"/>
    <w:rsid w:val="003577E2"/>
    <w:rsid w:val="00363EDD"/>
    <w:rsid w:val="0036530E"/>
    <w:rsid w:val="003657A3"/>
    <w:rsid w:val="00373086"/>
    <w:rsid w:val="00373DC1"/>
    <w:rsid w:val="0038058D"/>
    <w:rsid w:val="003811AE"/>
    <w:rsid w:val="00382D56"/>
    <w:rsid w:val="00386623"/>
    <w:rsid w:val="0038729D"/>
    <w:rsid w:val="00387943"/>
    <w:rsid w:val="00391744"/>
    <w:rsid w:val="00396985"/>
    <w:rsid w:val="003970E8"/>
    <w:rsid w:val="003A1CDB"/>
    <w:rsid w:val="003A1EB0"/>
    <w:rsid w:val="003A378A"/>
    <w:rsid w:val="003A7E95"/>
    <w:rsid w:val="003A7F10"/>
    <w:rsid w:val="003B0638"/>
    <w:rsid w:val="003B20DE"/>
    <w:rsid w:val="003B2344"/>
    <w:rsid w:val="003B31F9"/>
    <w:rsid w:val="003B6CE8"/>
    <w:rsid w:val="003C0916"/>
    <w:rsid w:val="003C1DDA"/>
    <w:rsid w:val="003C1E7D"/>
    <w:rsid w:val="003C2EB4"/>
    <w:rsid w:val="003C38DE"/>
    <w:rsid w:val="003C4A2A"/>
    <w:rsid w:val="003C6629"/>
    <w:rsid w:val="003C7E93"/>
    <w:rsid w:val="003D0484"/>
    <w:rsid w:val="003D0A5C"/>
    <w:rsid w:val="003D3FBA"/>
    <w:rsid w:val="003D7129"/>
    <w:rsid w:val="003E01C8"/>
    <w:rsid w:val="003E31C0"/>
    <w:rsid w:val="003E68ED"/>
    <w:rsid w:val="003F26BC"/>
    <w:rsid w:val="003F46E7"/>
    <w:rsid w:val="0040002D"/>
    <w:rsid w:val="00401096"/>
    <w:rsid w:val="0040560B"/>
    <w:rsid w:val="0040727E"/>
    <w:rsid w:val="004138BE"/>
    <w:rsid w:val="00413CF0"/>
    <w:rsid w:val="00414689"/>
    <w:rsid w:val="00414CF6"/>
    <w:rsid w:val="004172A6"/>
    <w:rsid w:val="004200E9"/>
    <w:rsid w:val="00421B87"/>
    <w:rsid w:val="00422497"/>
    <w:rsid w:val="00422FCF"/>
    <w:rsid w:val="00426B72"/>
    <w:rsid w:val="0043066A"/>
    <w:rsid w:val="00431005"/>
    <w:rsid w:val="004337D9"/>
    <w:rsid w:val="00435CF7"/>
    <w:rsid w:val="00441B7D"/>
    <w:rsid w:val="0044404F"/>
    <w:rsid w:val="004442D3"/>
    <w:rsid w:val="00450286"/>
    <w:rsid w:val="00454463"/>
    <w:rsid w:val="004578B3"/>
    <w:rsid w:val="00461F06"/>
    <w:rsid w:val="00462151"/>
    <w:rsid w:val="004625E6"/>
    <w:rsid w:val="004635D7"/>
    <w:rsid w:val="004701B1"/>
    <w:rsid w:val="00472432"/>
    <w:rsid w:val="00472437"/>
    <w:rsid w:val="00474F44"/>
    <w:rsid w:val="004764CE"/>
    <w:rsid w:val="00481EED"/>
    <w:rsid w:val="00482EE3"/>
    <w:rsid w:val="00484BAD"/>
    <w:rsid w:val="00485E2A"/>
    <w:rsid w:val="004922B4"/>
    <w:rsid w:val="004A02FE"/>
    <w:rsid w:val="004A1E08"/>
    <w:rsid w:val="004A33F8"/>
    <w:rsid w:val="004A38AB"/>
    <w:rsid w:val="004A3BA1"/>
    <w:rsid w:val="004A4AE2"/>
    <w:rsid w:val="004A6360"/>
    <w:rsid w:val="004A741B"/>
    <w:rsid w:val="004B120E"/>
    <w:rsid w:val="004B2A89"/>
    <w:rsid w:val="004B4DC2"/>
    <w:rsid w:val="004B68B6"/>
    <w:rsid w:val="004C09CA"/>
    <w:rsid w:val="004C0F9F"/>
    <w:rsid w:val="004C12E5"/>
    <w:rsid w:val="004C18A1"/>
    <w:rsid w:val="004C19E9"/>
    <w:rsid w:val="004C5AAF"/>
    <w:rsid w:val="004C7FD9"/>
    <w:rsid w:val="004D038D"/>
    <w:rsid w:val="004D25F6"/>
    <w:rsid w:val="004D27B4"/>
    <w:rsid w:val="004D43B9"/>
    <w:rsid w:val="004D486D"/>
    <w:rsid w:val="004D6751"/>
    <w:rsid w:val="004E087D"/>
    <w:rsid w:val="004E3245"/>
    <w:rsid w:val="004F304C"/>
    <w:rsid w:val="004F49FB"/>
    <w:rsid w:val="004F4D30"/>
    <w:rsid w:val="004F7D24"/>
    <w:rsid w:val="005011F9"/>
    <w:rsid w:val="00502609"/>
    <w:rsid w:val="00506C1D"/>
    <w:rsid w:val="00511EAA"/>
    <w:rsid w:val="005127AF"/>
    <w:rsid w:val="00512975"/>
    <w:rsid w:val="00515556"/>
    <w:rsid w:val="005158D6"/>
    <w:rsid w:val="00517806"/>
    <w:rsid w:val="00523E0B"/>
    <w:rsid w:val="00525E57"/>
    <w:rsid w:val="00527213"/>
    <w:rsid w:val="00530ACF"/>
    <w:rsid w:val="00531765"/>
    <w:rsid w:val="00533011"/>
    <w:rsid w:val="005404E5"/>
    <w:rsid w:val="00540EB4"/>
    <w:rsid w:val="00544E83"/>
    <w:rsid w:val="00545ED3"/>
    <w:rsid w:val="00546D70"/>
    <w:rsid w:val="00552091"/>
    <w:rsid w:val="00553749"/>
    <w:rsid w:val="005567E5"/>
    <w:rsid w:val="00557E33"/>
    <w:rsid w:val="005641C1"/>
    <w:rsid w:val="00565320"/>
    <w:rsid w:val="005655CC"/>
    <w:rsid w:val="0056789C"/>
    <w:rsid w:val="00570491"/>
    <w:rsid w:val="00577992"/>
    <w:rsid w:val="005816DC"/>
    <w:rsid w:val="00581EEF"/>
    <w:rsid w:val="00583F66"/>
    <w:rsid w:val="00587442"/>
    <w:rsid w:val="0058771D"/>
    <w:rsid w:val="00590F0C"/>
    <w:rsid w:val="00592145"/>
    <w:rsid w:val="00593221"/>
    <w:rsid w:val="005938BB"/>
    <w:rsid w:val="0059490C"/>
    <w:rsid w:val="00595435"/>
    <w:rsid w:val="0059736A"/>
    <w:rsid w:val="00597423"/>
    <w:rsid w:val="00597D82"/>
    <w:rsid w:val="005A55B5"/>
    <w:rsid w:val="005B0B0D"/>
    <w:rsid w:val="005B61A5"/>
    <w:rsid w:val="005C6A7F"/>
    <w:rsid w:val="005D03F2"/>
    <w:rsid w:val="005D26BF"/>
    <w:rsid w:val="005D3D0D"/>
    <w:rsid w:val="005D49EE"/>
    <w:rsid w:val="005D5D16"/>
    <w:rsid w:val="005E160F"/>
    <w:rsid w:val="005E42C1"/>
    <w:rsid w:val="005E5E87"/>
    <w:rsid w:val="005F541E"/>
    <w:rsid w:val="005F69D2"/>
    <w:rsid w:val="005F777B"/>
    <w:rsid w:val="005F7F05"/>
    <w:rsid w:val="005F7F83"/>
    <w:rsid w:val="00607475"/>
    <w:rsid w:val="006112E9"/>
    <w:rsid w:val="00613C4F"/>
    <w:rsid w:val="006145DA"/>
    <w:rsid w:val="006151AF"/>
    <w:rsid w:val="00615570"/>
    <w:rsid w:val="00615A32"/>
    <w:rsid w:val="0062121E"/>
    <w:rsid w:val="00621648"/>
    <w:rsid w:val="00622AF8"/>
    <w:rsid w:val="0062481D"/>
    <w:rsid w:val="006249C6"/>
    <w:rsid w:val="00624C5F"/>
    <w:rsid w:val="00632BE4"/>
    <w:rsid w:val="0063480E"/>
    <w:rsid w:val="0064562A"/>
    <w:rsid w:val="0064682A"/>
    <w:rsid w:val="00646B75"/>
    <w:rsid w:val="0064796C"/>
    <w:rsid w:val="00650834"/>
    <w:rsid w:val="00651B01"/>
    <w:rsid w:val="0065569C"/>
    <w:rsid w:val="00655A52"/>
    <w:rsid w:val="006560C5"/>
    <w:rsid w:val="006577DE"/>
    <w:rsid w:val="00662B6F"/>
    <w:rsid w:val="00664A44"/>
    <w:rsid w:val="00664EEB"/>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56FD"/>
    <w:rsid w:val="006A62EF"/>
    <w:rsid w:val="006A62F6"/>
    <w:rsid w:val="006A69FE"/>
    <w:rsid w:val="006A6FB8"/>
    <w:rsid w:val="006A7C0E"/>
    <w:rsid w:val="006B3108"/>
    <w:rsid w:val="006B4403"/>
    <w:rsid w:val="006B5FDE"/>
    <w:rsid w:val="006C0C92"/>
    <w:rsid w:val="006C1643"/>
    <w:rsid w:val="006C1D81"/>
    <w:rsid w:val="006C78FA"/>
    <w:rsid w:val="006D0DAC"/>
    <w:rsid w:val="006E0EBB"/>
    <w:rsid w:val="006E171C"/>
    <w:rsid w:val="006E26BE"/>
    <w:rsid w:val="006F0B58"/>
    <w:rsid w:val="006F1874"/>
    <w:rsid w:val="006F275B"/>
    <w:rsid w:val="006F38E3"/>
    <w:rsid w:val="006F4D1D"/>
    <w:rsid w:val="006F6F14"/>
    <w:rsid w:val="0070354D"/>
    <w:rsid w:val="0070635D"/>
    <w:rsid w:val="00706E74"/>
    <w:rsid w:val="0071309E"/>
    <w:rsid w:val="007170BE"/>
    <w:rsid w:val="00720BEB"/>
    <w:rsid w:val="00723AB3"/>
    <w:rsid w:val="0072560B"/>
    <w:rsid w:val="0072589D"/>
    <w:rsid w:val="00727405"/>
    <w:rsid w:val="00731634"/>
    <w:rsid w:val="007347FD"/>
    <w:rsid w:val="00735733"/>
    <w:rsid w:val="0073638B"/>
    <w:rsid w:val="007411AA"/>
    <w:rsid w:val="00742C6D"/>
    <w:rsid w:val="00742F26"/>
    <w:rsid w:val="0074569C"/>
    <w:rsid w:val="00746268"/>
    <w:rsid w:val="00746561"/>
    <w:rsid w:val="00746956"/>
    <w:rsid w:val="00750E31"/>
    <w:rsid w:val="007523FB"/>
    <w:rsid w:val="00757120"/>
    <w:rsid w:val="007615C1"/>
    <w:rsid w:val="00761DA7"/>
    <w:rsid w:val="007620CB"/>
    <w:rsid w:val="0076213F"/>
    <w:rsid w:val="00764BAE"/>
    <w:rsid w:val="0076520B"/>
    <w:rsid w:val="00765EB1"/>
    <w:rsid w:val="00766D7F"/>
    <w:rsid w:val="00776536"/>
    <w:rsid w:val="00777ABC"/>
    <w:rsid w:val="00785AB3"/>
    <w:rsid w:val="0078732C"/>
    <w:rsid w:val="00787627"/>
    <w:rsid w:val="00793F0E"/>
    <w:rsid w:val="007940A4"/>
    <w:rsid w:val="00794896"/>
    <w:rsid w:val="007959F4"/>
    <w:rsid w:val="0079659E"/>
    <w:rsid w:val="007A083A"/>
    <w:rsid w:val="007A3B5C"/>
    <w:rsid w:val="007A4178"/>
    <w:rsid w:val="007A5B0F"/>
    <w:rsid w:val="007A6FDC"/>
    <w:rsid w:val="007B1434"/>
    <w:rsid w:val="007B6CB5"/>
    <w:rsid w:val="007B6DC1"/>
    <w:rsid w:val="007C4F42"/>
    <w:rsid w:val="007C5573"/>
    <w:rsid w:val="007D02CF"/>
    <w:rsid w:val="007D29F4"/>
    <w:rsid w:val="007D2B04"/>
    <w:rsid w:val="007D376C"/>
    <w:rsid w:val="007D6854"/>
    <w:rsid w:val="007E03EE"/>
    <w:rsid w:val="007E1099"/>
    <w:rsid w:val="007E1661"/>
    <w:rsid w:val="007E3D38"/>
    <w:rsid w:val="007F0C65"/>
    <w:rsid w:val="007F4EB6"/>
    <w:rsid w:val="007F740C"/>
    <w:rsid w:val="008008EB"/>
    <w:rsid w:val="00801325"/>
    <w:rsid w:val="00801B89"/>
    <w:rsid w:val="00803E17"/>
    <w:rsid w:val="00804B60"/>
    <w:rsid w:val="008067FE"/>
    <w:rsid w:val="00810B8D"/>
    <w:rsid w:val="00813770"/>
    <w:rsid w:val="00813A42"/>
    <w:rsid w:val="008159D1"/>
    <w:rsid w:val="00821058"/>
    <w:rsid w:val="0082404B"/>
    <w:rsid w:val="00831A87"/>
    <w:rsid w:val="00841023"/>
    <w:rsid w:val="00842E4F"/>
    <w:rsid w:val="00843B90"/>
    <w:rsid w:val="00843BF2"/>
    <w:rsid w:val="00845647"/>
    <w:rsid w:val="00846068"/>
    <w:rsid w:val="00853112"/>
    <w:rsid w:val="0085558D"/>
    <w:rsid w:val="008573FF"/>
    <w:rsid w:val="00861267"/>
    <w:rsid w:val="00867393"/>
    <w:rsid w:val="008775DC"/>
    <w:rsid w:val="00877E0E"/>
    <w:rsid w:val="00882D97"/>
    <w:rsid w:val="00886E84"/>
    <w:rsid w:val="00894B77"/>
    <w:rsid w:val="008951E1"/>
    <w:rsid w:val="00895D1A"/>
    <w:rsid w:val="008A2386"/>
    <w:rsid w:val="008A58A9"/>
    <w:rsid w:val="008A6CA2"/>
    <w:rsid w:val="008B2A65"/>
    <w:rsid w:val="008B33DA"/>
    <w:rsid w:val="008B3DCF"/>
    <w:rsid w:val="008B5701"/>
    <w:rsid w:val="008B59B8"/>
    <w:rsid w:val="008C3FE2"/>
    <w:rsid w:val="008C527B"/>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1F9"/>
    <w:rsid w:val="0091125F"/>
    <w:rsid w:val="009121C5"/>
    <w:rsid w:val="00914F1A"/>
    <w:rsid w:val="009161F0"/>
    <w:rsid w:val="00917AFF"/>
    <w:rsid w:val="00920F7F"/>
    <w:rsid w:val="00922303"/>
    <w:rsid w:val="0092285E"/>
    <w:rsid w:val="00923C6D"/>
    <w:rsid w:val="009246BB"/>
    <w:rsid w:val="0092578F"/>
    <w:rsid w:val="00926715"/>
    <w:rsid w:val="00926D10"/>
    <w:rsid w:val="0093137A"/>
    <w:rsid w:val="00931475"/>
    <w:rsid w:val="00932F3F"/>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2674"/>
    <w:rsid w:val="009E4B9E"/>
    <w:rsid w:val="009E4CE3"/>
    <w:rsid w:val="009E5B58"/>
    <w:rsid w:val="009E68C0"/>
    <w:rsid w:val="009E70DB"/>
    <w:rsid w:val="009E73DE"/>
    <w:rsid w:val="009E7DC0"/>
    <w:rsid w:val="009E7E4A"/>
    <w:rsid w:val="009F0D22"/>
    <w:rsid w:val="009F3F30"/>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2B6C"/>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C600F"/>
    <w:rsid w:val="00AD1308"/>
    <w:rsid w:val="00AD24CA"/>
    <w:rsid w:val="00AE10DA"/>
    <w:rsid w:val="00AE23AC"/>
    <w:rsid w:val="00AE2EC7"/>
    <w:rsid w:val="00AE392A"/>
    <w:rsid w:val="00AE4CD1"/>
    <w:rsid w:val="00AE572F"/>
    <w:rsid w:val="00AE5856"/>
    <w:rsid w:val="00AF17EC"/>
    <w:rsid w:val="00AF21CF"/>
    <w:rsid w:val="00AF406D"/>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5120C"/>
    <w:rsid w:val="00B61502"/>
    <w:rsid w:val="00B62726"/>
    <w:rsid w:val="00B62A7A"/>
    <w:rsid w:val="00B631D6"/>
    <w:rsid w:val="00B701ED"/>
    <w:rsid w:val="00B708D1"/>
    <w:rsid w:val="00B747DC"/>
    <w:rsid w:val="00B74E2C"/>
    <w:rsid w:val="00B83938"/>
    <w:rsid w:val="00B84C4F"/>
    <w:rsid w:val="00B84E34"/>
    <w:rsid w:val="00B8754B"/>
    <w:rsid w:val="00B915CA"/>
    <w:rsid w:val="00B92DA8"/>
    <w:rsid w:val="00B945AA"/>
    <w:rsid w:val="00B9539B"/>
    <w:rsid w:val="00BA3961"/>
    <w:rsid w:val="00BA56C2"/>
    <w:rsid w:val="00BA60A7"/>
    <w:rsid w:val="00BB324D"/>
    <w:rsid w:val="00BB3943"/>
    <w:rsid w:val="00BB401C"/>
    <w:rsid w:val="00BB4613"/>
    <w:rsid w:val="00BB5669"/>
    <w:rsid w:val="00BC011A"/>
    <w:rsid w:val="00BC1768"/>
    <w:rsid w:val="00BC2353"/>
    <w:rsid w:val="00BC71BA"/>
    <w:rsid w:val="00BC7428"/>
    <w:rsid w:val="00BD17F5"/>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44EB"/>
    <w:rsid w:val="00C41E90"/>
    <w:rsid w:val="00C44AAB"/>
    <w:rsid w:val="00C45983"/>
    <w:rsid w:val="00C45BFA"/>
    <w:rsid w:val="00C507E5"/>
    <w:rsid w:val="00C533D6"/>
    <w:rsid w:val="00C533EE"/>
    <w:rsid w:val="00C61C67"/>
    <w:rsid w:val="00C6321C"/>
    <w:rsid w:val="00C67904"/>
    <w:rsid w:val="00C726F5"/>
    <w:rsid w:val="00C80E25"/>
    <w:rsid w:val="00C81FE0"/>
    <w:rsid w:val="00C82C60"/>
    <w:rsid w:val="00C842CB"/>
    <w:rsid w:val="00C85503"/>
    <w:rsid w:val="00C85965"/>
    <w:rsid w:val="00C86F4F"/>
    <w:rsid w:val="00C8750C"/>
    <w:rsid w:val="00C90355"/>
    <w:rsid w:val="00C91672"/>
    <w:rsid w:val="00C933B4"/>
    <w:rsid w:val="00C94C6D"/>
    <w:rsid w:val="00CA0621"/>
    <w:rsid w:val="00CA3F5E"/>
    <w:rsid w:val="00CA72F1"/>
    <w:rsid w:val="00CC06CB"/>
    <w:rsid w:val="00CC1C20"/>
    <w:rsid w:val="00CC1FD3"/>
    <w:rsid w:val="00CC2CBB"/>
    <w:rsid w:val="00CC2FF5"/>
    <w:rsid w:val="00CC3082"/>
    <w:rsid w:val="00CC3FEF"/>
    <w:rsid w:val="00CC7327"/>
    <w:rsid w:val="00CC789C"/>
    <w:rsid w:val="00CD1858"/>
    <w:rsid w:val="00CD42E1"/>
    <w:rsid w:val="00CD5554"/>
    <w:rsid w:val="00CE01A8"/>
    <w:rsid w:val="00CE1D87"/>
    <w:rsid w:val="00CE3868"/>
    <w:rsid w:val="00CF0D73"/>
    <w:rsid w:val="00CF2AF9"/>
    <w:rsid w:val="00CF2CA8"/>
    <w:rsid w:val="00CF33DF"/>
    <w:rsid w:val="00CF437D"/>
    <w:rsid w:val="00D02221"/>
    <w:rsid w:val="00D02798"/>
    <w:rsid w:val="00D040E0"/>
    <w:rsid w:val="00D061B2"/>
    <w:rsid w:val="00D06590"/>
    <w:rsid w:val="00D117A2"/>
    <w:rsid w:val="00D12E75"/>
    <w:rsid w:val="00D147B4"/>
    <w:rsid w:val="00D15534"/>
    <w:rsid w:val="00D159B7"/>
    <w:rsid w:val="00D16F1A"/>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63B73"/>
    <w:rsid w:val="00D7005C"/>
    <w:rsid w:val="00D70AE7"/>
    <w:rsid w:val="00D711AF"/>
    <w:rsid w:val="00D73713"/>
    <w:rsid w:val="00D8043D"/>
    <w:rsid w:val="00D8087A"/>
    <w:rsid w:val="00D92D35"/>
    <w:rsid w:val="00D936B8"/>
    <w:rsid w:val="00D94768"/>
    <w:rsid w:val="00D9635A"/>
    <w:rsid w:val="00DA417F"/>
    <w:rsid w:val="00DA4229"/>
    <w:rsid w:val="00DA7126"/>
    <w:rsid w:val="00DB07EC"/>
    <w:rsid w:val="00DB0C19"/>
    <w:rsid w:val="00DB3B04"/>
    <w:rsid w:val="00DB5A7A"/>
    <w:rsid w:val="00DC0673"/>
    <w:rsid w:val="00DC21A5"/>
    <w:rsid w:val="00DC2495"/>
    <w:rsid w:val="00DC2E6A"/>
    <w:rsid w:val="00DC35C5"/>
    <w:rsid w:val="00DC3691"/>
    <w:rsid w:val="00DC470E"/>
    <w:rsid w:val="00DC7D39"/>
    <w:rsid w:val="00DD0BE9"/>
    <w:rsid w:val="00DD107F"/>
    <w:rsid w:val="00DD1469"/>
    <w:rsid w:val="00DD1D2B"/>
    <w:rsid w:val="00DD32F5"/>
    <w:rsid w:val="00DD480F"/>
    <w:rsid w:val="00DD6AC7"/>
    <w:rsid w:val="00DE0775"/>
    <w:rsid w:val="00DE2459"/>
    <w:rsid w:val="00DE6930"/>
    <w:rsid w:val="00DF08B4"/>
    <w:rsid w:val="00DF0E38"/>
    <w:rsid w:val="00DF15A4"/>
    <w:rsid w:val="00DF37DC"/>
    <w:rsid w:val="00DF3AF2"/>
    <w:rsid w:val="00DF5F16"/>
    <w:rsid w:val="00DF7E6D"/>
    <w:rsid w:val="00E02BFD"/>
    <w:rsid w:val="00E06736"/>
    <w:rsid w:val="00E144EC"/>
    <w:rsid w:val="00E21933"/>
    <w:rsid w:val="00E23205"/>
    <w:rsid w:val="00E267FA"/>
    <w:rsid w:val="00E274B0"/>
    <w:rsid w:val="00E308E1"/>
    <w:rsid w:val="00E402F1"/>
    <w:rsid w:val="00E41A62"/>
    <w:rsid w:val="00E42F3F"/>
    <w:rsid w:val="00E4361E"/>
    <w:rsid w:val="00E539AB"/>
    <w:rsid w:val="00E54762"/>
    <w:rsid w:val="00E55DD7"/>
    <w:rsid w:val="00E56AAD"/>
    <w:rsid w:val="00E6225E"/>
    <w:rsid w:val="00E63DBD"/>
    <w:rsid w:val="00E67858"/>
    <w:rsid w:val="00E715B2"/>
    <w:rsid w:val="00E77777"/>
    <w:rsid w:val="00E77F3D"/>
    <w:rsid w:val="00E81989"/>
    <w:rsid w:val="00E82CB6"/>
    <w:rsid w:val="00E83369"/>
    <w:rsid w:val="00E84969"/>
    <w:rsid w:val="00E84B76"/>
    <w:rsid w:val="00E8621B"/>
    <w:rsid w:val="00E86A4C"/>
    <w:rsid w:val="00E91091"/>
    <w:rsid w:val="00E93D11"/>
    <w:rsid w:val="00E95A66"/>
    <w:rsid w:val="00E96C1D"/>
    <w:rsid w:val="00E96E0E"/>
    <w:rsid w:val="00EA0678"/>
    <w:rsid w:val="00EA160C"/>
    <w:rsid w:val="00EA17F1"/>
    <w:rsid w:val="00EA2CEB"/>
    <w:rsid w:val="00EA47EA"/>
    <w:rsid w:val="00EA526E"/>
    <w:rsid w:val="00EA71DE"/>
    <w:rsid w:val="00EB0037"/>
    <w:rsid w:val="00EB3A95"/>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F0A55"/>
    <w:rsid w:val="00EF2F81"/>
    <w:rsid w:val="00F021D2"/>
    <w:rsid w:val="00F02A16"/>
    <w:rsid w:val="00F05CD5"/>
    <w:rsid w:val="00F13F91"/>
    <w:rsid w:val="00F1425A"/>
    <w:rsid w:val="00F16186"/>
    <w:rsid w:val="00F16E0F"/>
    <w:rsid w:val="00F1702B"/>
    <w:rsid w:val="00F179B3"/>
    <w:rsid w:val="00F17E27"/>
    <w:rsid w:val="00F21D82"/>
    <w:rsid w:val="00F24CBA"/>
    <w:rsid w:val="00F27053"/>
    <w:rsid w:val="00F30D0A"/>
    <w:rsid w:val="00F36410"/>
    <w:rsid w:val="00F36575"/>
    <w:rsid w:val="00F3708C"/>
    <w:rsid w:val="00F41C55"/>
    <w:rsid w:val="00F4696A"/>
    <w:rsid w:val="00F527A5"/>
    <w:rsid w:val="00F56577"/>
    <w:rsid w:val="00F56C2B"/>
    <w:rsid w:val="00F63FE1"/>
    <w:rsid w:val="00F653E0"/>
    <w:rsid w:val="00F74D7C"/>
    <w:rsid w:val="00F751B4"/>
    <w:rsid w:val="00F82331"/>
    <w:rsid w:val="00F824E1"/>
    <w:rsid w:val="00F82E1C"/>
    <w:rsid w:val="00F85516"/>
    <w:rsid w:val="00F86215"/>
    <w:rsid w:val="00F877F2"/>
    <w:rsid w:val="00F91C7A"/>
    <w:rsid w:val="00F96ECD"/>
    <w:rsid w:val="00FA1947"/>
    <w:rsid w:val="00FA2FB8"/>
    <w:rsid w:val="00FA47C2"/>
    <w:rsid w:val="00FA4C7F"/>
    <w:rsid w:val="00FA5AE0"/>
    <w:rsid w:val="00FA5F1D"/>
    <w:rsid w:val="00FB1B17"/>
    <w:rsid w:val="00FB2206"/>
    <w:rsid w:val="00FB35D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6FCC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4172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8E4-A4CB-C64A-A33F-AED8C274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1171</Words>
  <Characters>6677</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2017-02-15T20:38:00Z</cp:lastPrinted>
  <dcterms:created xsi:type="dcterms:W3CDTF">2017-02-24T21:18:00Z</dcterms:created>
  <dcterms:modified xsi:type="dcterms:W3CDTF">2017-02-24T21:19:00Z</dcterms:modified>
</cp:coreProperties>
</file>