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E8532"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COMUNICADO</w:t>
      </w:r>
    </w:p>
    <w:p w14:paraId="0F3897D9" w14:textId="77777777" w:rsidR="0092578F" w:rsidRPr="00164A29" w:rsidRDefault="007E59F7" w:rsidP="0092578F">
      <w:pPr>
        <w:spacing w:line="276" w:lineRule="auto"/>
        <w:jc w:val="right"/>
        <w:rPr>
          <w:rFonts w:ascii="Verdana" w:hAnsi="Verdana"/>
          <w:color w:val="ED1C2A"/>
          <w:sz w:val="18"/>
          <w:szCs w:val="18"/>
        </w:rPr>
      </w:pPr>
      <w:r>
        <w:rPr>
          <w:rFonts w:ascii="Verdana" w:hAnsi="Verdana"/>
          <w:color w:val="41525C"/>
          <w:sz w:val="18"/>
        </w:rPr>
        <w:t>27</w:t>
      </w:r>
      <w:r w:rsidR="00995A30">
        <w:rPr>
          <w:rFonts w:ascii="Verdana" w:hAnsi="Verdana"/>
          <w:color w:val="41525C"/>
          <w:sz w:val="18"/>
        </w:rPr>
        <w:t xml:space="preserve"> de janeiro de 2016</w:t>
      </w:r>
    </w:p>
    <w:p w14:paraId="09261AA8" w14:textId="77777777"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5F848349" wp14:editId="79AD7B9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15D942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4AE09230" w14:textId="77777777" w:rsidR="00163032" w:rsidRDefault="00163032" w:rsidP="00163032">
      <w:pPr>
        <w:tabs>
          <w:tab w:val="left" w:pos="6096"/>
        </w:tabs>
        <w:spacing w:line="276" w:lineRule="auto"/>
        <w:rPr>
          <w:rFonts w:ascii="Verdana" w:hAnsi="Verdana"/>
          <w:color w:val="ED1C2A"/>
          <w:sz w:val="30"/>
          <w:szCs w:val="30"/>
        </w:rPr>
      </w:pPr>
    </w:p>
    <w:p w14:paraId="24550804"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Pr>
          <w:rStyle w:val="moduletitletext"/>
          <w:rFonts w:ascii="Georgia" w:hAnsi="Georgia"/>
          <w:sz w:val="28"/>
        </w:rPr>
        <w:t>Manitowoc Company nomeia Barry L. Pennypacker como presidente e diretor executivo da Manitowoc Cranes</w:t>
      </w:r>
    </w:p>
    <w:p w14:paraId="6D214D5A"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The Manitowoc Company anunciou em 28 de dezembro de 2015 a nomeação de</w:t>
      </w:r>
      <w:r>
        <w:rPr>
          <w:rStyle w:val="apple-converted-space"/>
          <w:rFonts w:ascii="Georgia" w:hAnsi="Georgia"/>
          <w:sz w:val="21"/>
        </w:rPr>
        <w:t> </w:t>
      </w:r>
      <w:r>
        <w:rPr>
          <w:rFonts w:ascii="Georgia" w:hAnsi="Georgia"/>
          <w:sz w:val="21"/>
        </w:rPr>
        <w:t>Barry L. Pennypacker</w:t>
      </w:r>
      <w:r>
        <w:rPr>
          <w:rStyle w:val="apple-converted-space"/>
          <w:rFonts w:ascii="Georgia" w:hAnsi="Georgia"/>
          <w:sz w:val="21"/>
        </w:rPr>
        <w:t> </w:t>
      </w:r>
      <w:r>
        <w:rPr>
          <w:rFonts w:ascii="Georgia" w:hAnsi="Georgia"/>
          <w:sz w:val="21"/>
        </w:rPr>
        <w:t>como presidente e diretor executivo da Manitowoc Cranes. Pennypacker, que assume seu cargo imediatamente, deverá responder ao atual presidente do conselho e diretor executivo da</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Kenneth W. Krueger. Larry J. Weyers, o atual presidente da Manitowoc Cranes, continuará na empresa como vice-presidente executivo da Manitowoc Cranes.</w:t>
      </w:r>
    </w:p>
    <w:p w14:paraId="31A175F9"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“Barry traz uma nova perspectiva para o negócio da Manitowoc Cranes. Seu estilo de liderança focada em resultados levou à transformação de diversos negócios complexos por meio da melhoria contínua do processo, o que resultou em aperfeiçoamentos operacionais e financeiros significativos, bem como em um valor mais elevado para os acionistas. Além disso, o conhecimento industrial aprofundado de Barry, em combinação com a execução bem-sucedida de diversas iniciativas lean ao longo de sua carreira, fazem dele o candidato ideal para lançar mão da posição de líder de mercado da Manitowoc Cranes para fazer o negócio voltar a crescer e aumentar a rentabilidade”, afirmou Krueger.</w:t>
      </w:r>
    </w:p>
    <w:p w14:paraId="1A37AA1A"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Após a execução da separação da</w:t>
      </w:r>
      <w:r>
        <w:rPr>
          <w:rStyle w:val="apple-converted-space"/>
          <w:rFonts w:ascii="Georgia" w:hAnsi="Georgia"/>
          <w:sz w:val="21"/>
        </w:rPr>
        <w:t> </w:t>
      </w:r>
      <w:r>
        <w:rPr>
          <w:rFonts w:ascii="Georgia" w:hAnsi="Georgia"/>
          <w:sz w:val="21"/>
        </w:rPr>
        <w:t>Manitowoc Foodservice, anunciada anteriormente,</w:t>
      </w:r>
      <w:r>
        <w:rPr>
          <w:rStyle w:val="apple-converted-space"/>
          <w:rFonts w:ascii="Georgia" w:hAnsi="Georgia"/>
          <w:sz w:val="21"/>
        </w:rPr>
        <w:t> </w:t>
      </w:r>
      <w:r>
        <w:rPr>
          <w:rFonts w:ascii="Georgia" w:hAnsi="Georgia"/>
          <w:sz w:val="21"/>
        </w:rPr>
        <w:t>a The Manitowoc Company, Inc.</w:t>
      </w:r>
      <w:r>
        <w:rPr>
          <w:rStyle w:val="apple-converted-space"/>
          <w:rFonts w:ascii="Georgia" w:hAnsi="Georgia"/>
          <w:sz w:val="21"/>
        </w:rPr>
        <w:t> </w:t>
      </w:r>
      <w:r>
        <w:rPr>
          <w:rFonts w:ascii="Georgia" w:hAnsi="Georgia"/>
          <w:sz w:val="21"/>
        </w:rPr>
        <w:t>mudará seu nome para Manitowoc Cranes, Inc.</w:t>
      </w:r>
      <w:r>
        <w:rPr>
          <w:rStyle w:val="apple-converted-space"/>
          <w:rFonts w:ascii="Georgia" w:hAnsi="Georgia"/>
          <w:sz w:val="21"/>
        </w:rPr>
        <w:t> </w:t>
      </w:r>
      <w:r>
        <w:rPr>
          <w:rFonts w:ascii="Georgia" w:hAnsi="Georgia"/>
          <w:sz w:val="21"/>
        </w:rPr>
        <w:t>Com essa nova configuração, Barry Pennypacker exercerá o cargo de presidente e diretor executivo da</w:t>
      </w:r>
      <w:r>
        <w:rPr>
          <w:rStyle w:val="apple-converted-space"/>
          <w:rFonts w:ascii="Georgia" w:hAnsi="Georgia"/>
          <w:sz w:val="21"/>
        </w:rPr>
        <w:t> </w:t>
      </w:r>
      <w:r>
        <w:rPr>
          <w:rFonts w:ascii="Georgia" w:hAnsi="Georgia"/>
          <w:sz w:val="21"/>
        </w:rPr>
        <w:t>Manitowoc Cranes, Inc.</w:t>
      </w:r>
      <w:r>
        <w:rPr>
          <w:rStyle w:val="apple-converted-space"/>
          <w:rFonts w:ascii="Georgia" w:hAnsi="Georgia"/>
          <w:sz w:val="21"/>
        </w:rPr>
        <w:t> </w:t>
      </w:r>
      <w:r>
        <w:rPr>
          <w:rFonts w:ascii="Georgia" w:hAnsi="Georgia"/>
          <w:sz w:val="21"/>
        </w:rPr>
        <w:t>e Kenneth W. Krueger exercerá o cargo de presidente do conselho da</w:t>
      </w:r>
      <w:r>
        <w:rPr>
          <w:rStyle w:val="apple-converted-space"/>
          <w:rFonts w:ascii="Georgia" w:hAnsi="Georgia"/>
          <w:sz w:val="21"/>
        </w:rPr>
        <w:t> </w:t>
      </w:r>
      <w:r>
        <w:rPr>
          <w:rFonts w:ascii="Georgia" w:hAnsi="Georgia"/>
          <w:sz w:val="21"/>
        </w:rPr>
        <w:t>Manitowoc Cranes, Inc.</w:t>
      </w:r>
    </w:p>
    <w:p w14:paraId="64855659"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Recentemente, Pennypacker trabalhou como fundador, presidente e diretor executivo da</w:t>
      </w:r>
      <w:r>
        <w:rPr>
          <w:rStyle w:val="apple-converted-space"/>
          <w:rFonts w:ascii="Georgia" w:hAnsi="Georgia"/>
          <w:sz w:val="21"/>
        </w:rPr>
        <w:t> </w:t>
      </w:r>
      <w:r>
        <w:rPr>
          <w:rFonts w:ascii="Georgia" w:hAnsi="Georgia"/>
          <w:sz w:val="21"/>
        </w:rPr>
        <w:t>Quantum Lean LLC, uma fabricante e fornecedora privada de componentes de precisão. Entre 2008 e 2012 foi presidente e CEO, além de diretor, da</w:t>
      </w:r>
      <w:r>
        <w:rPr>
          <w:rStyle w:val="apple-converted-space"/>
          <w:rFonts w:ascii="Georgia" w:hAnsi="Georgia"/>
          <w:sz w:val="21"/>
        </w:rPr>
        <w:t> </w:t>
      </w:r>
      <w:r>
        <w:rPr>
          <w:rFonts w:ascii="Georgia" w:hAnsi="Georgia"/>
          <w:sz w:val="21"/>
        </w:rPr>
        <w:t>Gardner Denver Inc., uma fabricante e comerciante de maquinário de engenharia industrial e peças e serviços relacionados. No exercício de seu cargo na Gardner Denver, ele criou uma cultura de alto desempenho que resultou em um valor significativo para os clientes, funcionários e acionistas.</w:t>
      </w:r>
    </w:p>
    <w:p w14:paraId="6A4E894B"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Antes de entrar para a Gardner Denver, Pennypacker trabalhou em cargos de responsabilidade crescente na</w:t>
      </w:r>
      <w:r>
        <w:rPr>
          <w:rStyle w:val="apple-converted-space"/>
          <w:rFonts w:ascii="Georgia" w:hAnsi="Georgia"/>
          <w:sz w:val="21"/>
        </w:rPr>
        <w:t> </w:t>
      </w:r>
      <w:r>
        <w:rPr>
          <w:rFonts w:ascii="Georgia" w:hAnsi="Georgia"/>
          <w:sz w:val="21"/>
        </w:rPr>
        <w:t>Westinghouse Air Brake Technologies Corporation, uma provedora mundial de equipamentos e serviços baseados em tecnologia para o setor ferroviário com seu último cargo sendo o de</w:t>
      </w:r>
      <w:r>
        <w:rPr>
          <w:rStyle w:val="apple-converted-space"/>
          <w:rFonts w:ascii="Georgia" w:hAnsi="Georgia"/>
          <w:sz w:val="21"/>
        </w:rPr>
        <w:t> </w:t>
      </w:r>
      <w:r>
        <w:rPr>
          <w:rFonts w:ascii="Georgia" w:hAnsi="Georgia"/>
          <w:sz w:val="21"/>
        </w:rPr>
        <w:t>vice-presidente do grupo</w:t>
      </w:r>
      <w:r>
        <w:rPr>
          <w:rStyle w:val="apple-converted-space"/>
          <w:rFonts w:ascii="Georgia" w:hAnsi="Georgia"/>
          <w:sz w:val="21"/>
        </w:rPr>
        <w:t> </w:t>
      </w:r>
      <w:r>
        <w:rPr>
          <w:rFonts w:ascii="Georgia" w:hAnsi="Georgia"/>
          <w:sz w:val="21"/>
        </w:rPr>
        <w:t>executivo. Ele também trabalhou em diversos cargos de gerência sênior e operacionais durante seu trabalho na The Stanley Works, uma produtora mundial de ferramentas e produtos de segurança, e na</w:t>
      </w:r>
      <w:r>
        <w:rPr>
          <w:rStyle w:val="apple-converted-space"/>
          <w:rFonts w:ascii="Georgia" w:hAnsi="Georgia"/>
          <w:sz w:val="21"/>
        </w:rPr>
        <w:t> </w:t>
      </w:r>
      <w:r>
        <w:rPr>
          <w:rFonts w:ascii="Georgia" w:hAnsi="Georgia"/>
          <w:sz w:val="21"/>
        </w:rPr>
        <w:t>Danaher Corporation, fabricante e comerciante de produtos e serviços profissionais, médicos, industriais e comerciais.</w:t>
      </w:r>
    </w:p>
    <w:p w14:paraId="61F5F0D7"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lastRenderedPageBreak/>
        <w:t>Ba</w:t>
      </w:r>
      <w:bookmarkStart w:id="0" w:name="_GoBack"/>
      <w:bookmarkEnd w:id="0"/>
      <w:r>
        <w:rPr>
          <w:rFonts w:ascii="Georgia" w:hAnsi="Georgia"/>
          <w:sz w:val="21"/>
        </w:rPr>
        <w:t>rry Pennypacker é bacharel em gestão de operações pela</w:t>
      </w:r>
      <w:r>
        <w:rPr>
          <w:rStyle w:val="apple-converted-space"/>
          <w:rFonts w:ascii="Georgia" w:hAnsi="Georgia"/>
          <w:sz w:val="21"/>
        </w:rPr>
        <w:t> </w:t>
      </w:r>
      <w:r>
        <w:rPr>
          <w:rFonts w:ascii="Georgia" w:hAnsi="Georgia"/>
          <w:sz w:val="21"/>
        </w:rPr>
        <w:t>Universidade Estadual da Pensilvânia</w:t>
      </w:r>
      <w:r>
        <w:rPr>
          <w:rStyle w:val="apple-converted-space"/>
          <w:rFonts w:ascii="Georgia" w:hAnsi="Georgia"/>
          <w:sz w:val="21"/>
        </w:rPr>
        <w:t> </w:t>
      </w:r>
      <w:r>
        <w:rPr>
          <w:rFonts w:ascii="Georgia" w:hAnsi="Georgia"/>
          <w:sz w:val="21"/>
        </w:rPr>
        <w:t>e possui M.B.A. em pesquisa de operações pela Universidade de St. Joseph.</w:t>
      </w:r>
    </w:p>
    <w:p w14:paraId="332545D8"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b/>
          <w:i/>
          <w:sz w:val="21"/>
        </w:rPr>
        <w:t>Declarações prospectivas</w:t>
      </w:r>
    </w:p>
    <w:p w14:paraId="37F52BDD"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Este comunicado à imprensa inclui "declarações prospectivas" que pretendem qualificar o porto seguro no que diz respeito à responsabilidade segundo a Lei de Reforma do Litígio de Valores Mobiliários Privados (PSLRA) de 1995. Qualquer declaração contida neste comunicado à imprensa não são fatos históricos, são declarações prospectivas conforme o significado da Lei de Reforma do Litígio de Valores Mobiliários Privados (PSLRA) de 1995. Essas declarações são baseadas nas expectativas atuais da gerência da empresa e estão sujeitas à incerteza e a alterações conforme as circunstâncias. As declarações prospectivas incluem, sem limitação, declarações típicas contendo palavras como "pretende", "espera", "prevê", "projeta", "estima", bem como palavras de significado semelhante. Por sua natureza, as declarações prospectivas não são garantias de desempenho e resultados futuros e envolvem riscos e incertezas, pois estão relacionadas a eventos e dependem das circunstâncias que ocorrerão no futuro. Há diversos fatores que poderiam gerar resultados e desenvolvimentos reais que se distanciariam materialmente dos que foram expressos ou implícitos nas declarações prospectivas. Os fatores que poderiam gerar resultados e desenvolvimentos reais que se distanciariam materialmente incluem, entre outros:</w:t>
      </w:r>
    </w:p>
    <w:p w14:paraId="53A08032"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possíveis efeitos negativos nas operações do negócio, ativos ou resultados financeiros da empresa como resultado do plano de separação da empresa em duas empresas de capital aberto independentes;</w:t>
      </w:r>
    </w:p>
    <w:p w14:paraId="4F62DFDF"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capitalização das duas empresas independentes;</w:t>
      </w:r>
    </w:p>
    <w:p w14:paraId="1F334275"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mudanças não previstas nas receitas, margens, custos e despesas de capital;</w:t>
      </w:r>
    </w:p>
    <w:p w14:paraId="0C89512F"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a capacidade de aumentar significativamente a rentabilidade;</w:t>
      </w:r>
    </w:p>
    <w:p w14:paraId="0AFC20EA"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a capacidade de aumentar as eficiências operacionais em cada segmento de negócio da Manitowoc e de capitalizar com essas eficiências;</w:t>
      </w:r>
    </w:p>
    <w:p w14:paraId="05876443"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 xml:space="preserve">realização das previsões de aumentos no lucro, economia de custos, opções estratégicas e outras sinergias, e a previsão do momento certo para realizar essas economias, sinergias e opções; </w:t>
      </w:r>
    </w:p>
    <w:p w14:paraId="361E1B1C"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riscos e outros fatores citados nos registros da</w:t>
      </w:r>
      <w:r>
        <w:rPr>
          <w:rStyle w:val="apple-converted-space"/>
          <w:rFonts w:ascii="Georgia" w:hAnsi="Georgia"/>
          <w:i/>
          <w:sz w:val="21"/>
        </w:rPr>
        <w:t> </w:t>
      </w:r>
      <w:r>
        <w:rPr>
          <w:rFonts w:ascii="Georgia" w:hAnsi="Georgia"/>
          <w:i/>
          <w:sz w:val="21"/>
        </w:rPr>
        <w:t>Manitowoc</w:t>
      </w:r>
      <w:r>
        <w:rPr>
          <w:rStyle w:val="apple-converted-space"/>
          <w:rFonts w:ascii="Georgia" w:hAnsi="Georgia"/>
          <w:i/>
          <w:sz w:val="21"/>
        </w:rPr>
        <w:t> </w:t>
      </w:r>
      <w:r>
        <w:rPr>
          <w:rFonts w:ascii="Georgia" w:hAnsi="Georgia"/>
          <w:i/>
          <w:sz w:val="21"/>
        </w:rPr>
        <w:t>com a</w:t>
      </w:r>
      <w:r>
        <w:rPr>
          <w:rStyle w:val="apple-converted-space"/>
          <w:rFonts w:ascii="Georgia" w:hAnsi="Georgia"/>
          <w:i/>
          <w:sz w:val="21"/>
        </w:rPr>
        <w:t> </w:t>
      </w:r>
      <w:r>
        <w:rPr>
          <w:rFonts w:ascii="Georgia" w:hAnsi="Georgia"/>
          <w:i/>
          <w:sz w:val="21"/>
        </w:rPr>
        <w:t>Comissão de Valores Mobiliários dos Estados Unidos.</w:t>
      </w:r>
    </w:p>
    <w:p w14:paraId="3C02C09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A Manitowoc</w:t>
      </w:r>
      <w:r>
        <w:rPr>
          <w:rStyle w:val="apple-converted-space"/>
          <w:rFonts w:ascii="Georgia" w:hAnsi="Georgia"/>
          <w:i/>
          <w:sz w:val="21"/>
        </w:rPr>
        <w:t> </w:t>
      </w:r>
      <w:r>
        <w:rPr>
          <w:rFonts w:ascii="Georgia" w:hAnsi="Georgia"/>
          <w:i/>
          <w:sz w:val="21"/>
        </w:rPr>
        <w:t xml:space="preserve">não se responsabiliza pela atualização ou revisão das declarações prospectivas, como resultado de novas informações, eventos futuros ou qualquer outra forma. As declarações prospectivas referem-se somente à data em que foram feitas. As informações sobre os possíveis fatores que poderiam afetar os resultados reais de operação da empresa estão incluídas em seus </w:t>
      </w:r>
      <w:r>
        <w:rPr>
          <w:rFonts w:ascii="Georgia" w:hAnsi="Georgia"/>
          <w:i/>
          <w:sz w:val="21"/>
        </w:rPr>
        <w:lastRenderedPageBreak/>
        <w:t>registros com a Comissão de Valores Mobiliários, incluindo, mas não limitado a, seu Relatório anual no Formulário 10-K para o ano fiscal encerrado em</w:t>
      </w:r>
      <w:r>
        <w:rPr>
          <w:rStyle w:val="apple-converted-space"/>
          <w:rFonts w:ascii="Georgia" w:hAnsi="Georgia"/>
          <w:i/>
          <w:sz w:val="21"/>
        </w:rPr>
        <w:t> </w:t>
      </w:r>
      <w:r>
        <w:rPr>
          <w:rFonts w:ascii="Georgia" w:hAnsi="Georgia"/>
          <w:i/>
          <w:sz w:val="21"/>
        </w:rPr>
        <w:t>31 de dezembro de 2014.</w:t>
      </w:r>
    </w:p>
    <w:p w14:paraId="50A2216A" w14:textId="77777777"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14:paraId="76E8B5D2"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-FIM-</w:t>
      </w:r>
    </w:p>
    <w:p w14:paraId="58944315" w14:textId="77777777" w:rsidR="00973E22" w:rsidRDefault="00973E22" w:rsidP="00A678F4">
      <w:pPr>
        <w:spacing w:line="276" w:lineRule="auto"/>
        <w:rPr>
          <w:rFonts w:ascii="Verdana" w:hAnsi="Verdana"/>
          <w:color w:val="ED1C2A"/>
          <w:sz w:val="18"/>
          <w:szCs w:val="18"/>
        </w:rPr>
      </w:pPr>
    </w:p>
    <w:p w14:paraId="4ADE57F7" w14:textId="77777777" w:rsidR="00164A29" w:rsidRPr="00A678F4" w:rsidRDefault="00164A29" w:rsidP="00A678F4">
      <w:pPr>
        <w:spacing w:line="276" w:lineRule="auto"/>
        <w:rPr>
          <w:rFonts w:ascii="Verdana" w:hAnsi="Verdana"/>
          <w:b/>
          <w:color w:val="41525C"/>
          <w:sz w:val="18"/>
          <w:szCs w:val="18"/>
        </w:rPr>
      </w:pPr>
      <w:r>
        <w:rPr>
          <w:rFonts w:ascii="Verdana" w:hAnsi="Verdana"/>
          <w:color w:val="ED1C2A"/>
          <w:sz w:val="18"/>
        </w:rPr>
        <w:t xml:space="preserve">CONTATO </w:t>
      </w:r>
      <w:r>
        <w:tab/>
      </w:r>
      <w:r>
        <w:tab/>
      </w:r>
      <w:r>
        <w:tab/>
      </w:r>
      <w:r>
        <w:tab/>
      </w:r>
    </w:p>
    <w:p w14:paraId="4EE188AE" w14:textId="77777777"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3D454EE8" w14:textId="77777777" w:rsidR="00164A29" w:rsidRPr="00A678F4" w:rsidRDefault="00164A29" w:rsidP="00D4675D">
      <w:pPr>
        <w:tabs>
          <w:tab w:val="left" w:pos="3969"/>
        </w:tabs>
        <w:spacing w:line="276" w:lineRule="auto"/>
        <w:rPr>
          <w:rFonts w:ascii="Verdana" w:hAnsi="Verdana"/>
          <w:color w:val="41525C"/>
          <w:sz w:val="18"/>
          <w:szCs w:val="18"/>
        </w:rPr>
      </w:pPr>
      <w:r>
        <w:rPr>
          <w:rFonts w:ascii="Verdana" w:hAnsi="Verdana"/>
          <w:color w:val="41525C"/>
          <w:sz w:val="18"/>
        </w:rPr>
        <w:t>Manitowoc Cranes</w:t>
      </w:r>
      <w:r>
        <w:tab/>
      </w:r>
      <w:r>
        <w:rPr>
          <w:rFonts w:ascii="Verdana" w:hAnsi="Verdana"/>
          <w:color w:val="41525C"/>
          <w:sz w:val="18"/>
        </w:rPr>
        <w:t>SE10</w:t>
      </w:r>
    </w:p>
    <w:p w14:paraId="26F0F000" w14:textId="77777777" w:rsidR="00164A29" w:rsidRPr="00A678F4" w:rsidRDefault="00D4675D" w:rsidP="00D4675D">
      <w:pPr>
        <w:tabs>
          <w:tab w:val="left" w:pos="3969"/>
        </w:tabs>
        <w:spacing w:line="276" w:lineRule="auto"/>
        <w:rPr>
          <w:rFonts w:ascii="Verdana" w:hAnsi="Verdana"/>
          <w:color w:val="41525C"/>
          <w:sz w:val="18"/>
          <w:szCs w:val="18"/>
        </w:rPr>
      </w:pPr>
      <w:r>
        <w:rPr>
          <w:rFonts w:ascii="Verdana" w:hAnsi="Verdana"/>
          <w:color w:val="41525C"/>
          <w:sz w:val="18"/>
        </w:rPr>
        <w:t>T +1 920 683 6345</w:t>
      </w:r>
      <w:r>
        <w:tab/>
      </w:r>
      <w:r>
        <w:rPr>
          <w:rFonts w:ascii="Verdana" w:hAnsi="Verdana"/>
          <w:color w:val="41525C"/>
          <w:sz w:val="18"/>
        </w:rPr>
        <w:t>T +1 312 548 8441</w:t>
      </w:r>
    </w:p>
    <w:p w14:paraId="0434020D" w14:textId="77777777" w:rsidR="003466E0" w:rsidRDefault="00D373C5" w:rsidP="00D4675D">
      <w:pPr>
        <w:tabs>
          <w:tab w:val="left" w:pos="1055"/>
          <w:tab w:val="left" w:pos="3969"/>
          <w:tab w:val="left" w:pos="6379"/>
          <w:tab w:val="left" w:pos="7371"/>
        </w:tabs>
        <w:spacing w:line="276" w:lineRule="auto"/>
        <w:rPr>
          <w:rFonts w:ascii="Verdana" w:hAnsi="Verdana"/>
          <w:sz w:val="18"/>
          <w:szCs w:val="18"/>
        </w:rPr>
      </w:pPr>
      <w:hyperlink r:id="rId9">
        <w:r w:rsidR="00D52112">
          <w:rPr>
            <w:rStyle w:val="Hyperlink"/>
            <w:rFonts w:ascii="Verdana" w:hAnsi="Verdana"/>
            <w:sz w:val="18"/>
          </w:rPr>
          <w:t>amy.marten@manitowoc.com</w:t>
        </w:r>
      </w:hyperlink>
      <w:r w:rsidR="00D52112">
        <w:tab/>
      </w:r>
      <w:hyperlink r:id="rId10">
        <w:r w:rsidR="00D52112">
          <w:rPr>
            <w:rStyle w:val="Hyperlink"/>
            <w:rFonts w:ascii="Verdana" w:hAnsi="Verdana"/>
            <w:sz w:val="18"/>
          </w:rPr>
          <w:t>damian.joseph@se10.com</w:t>
        </w:r>
      </w:hyperlink>
    </w:p>
    <w:p w14:paraId="5A3F5C3A" w14:textId="77777777" w:rsidR="00164A29" w:rsidRDefault="00A678F4" w:rsidP="00D4675D">
      <w:pPr>
        <w:tabs>
          <w:tab w:val="left" w:pos="1055"/>
          <w:tab w:val="left" w:pos="3969"/>
          <w:tab w:val="left" w:pos="6379"/>
          <w:tab w:val="left" w:pos="7371"/>
        </w:tabs>
        <w:spacing w:line="276" w:lineRule="auto"/>
      </w:pPr>
      <w:r>
        <w:tab/>
      </w:r>
    </w:p>
    <w:p w14:paraId="4BC1FD0E" w14:textId="77777777" w:rsidR="009B4406" w:rsidRPr="00A678F4" w:rsidRDefault="009B4406" w:rsidP="00D4675D">
      <w:pPr>
        <w:tabs>
          <w:tab w:val="left" w:pos="1055"/>
          <w:tab w:val="left" w:pos="3969"/>
          <w:tab w:val="left" w:pos="6379"/>
          <w:tab w:val="left" w:pos="7371"/>
        </w:tabs>
        <w:spacing w:line="276" w:lineRule="auto"/>
        <w:rPr>
          <w:rFonts w:ascii="Verdana" w:hAnsi="Verdana"/>
          <w:b/>
          <w:color w:val="41525C"/>
          <w:sz w:val="18"/>
          <w:szCs w:val="18"/>
        </w:rPr>
      </w:pPr>
    </w:p>
    <w:p w14:paraId="6C15CFB6" w14:textId="77777777" w:rsidR="009B4406" w:rsidRDefault="009B4406" w:rsidP="009B4406">
      <w:pPr>
        <w:rPr>
          <w:rFonts w:ascii="Georgia" w:hAnsi="Georgia"/>
          <w:sz w:val="19"/>
          <w:szCs w:val="19"/>
        </w:rPr>
      </w:pPr>
      <w:r>
        <w:rPr>
          <w:rFonts w:ascii="Verdana" w:hAnsi="Verdana"/>
          <w:color w:val="ED1C2A"/>
          <w:sz w:val="18"/>
        </w:rPr>
        <w:t>SOBRE A THE MANITOWOC COMPANY, INC.</w:t>
      </w:r>
      <w:r>
        <w:rPr>
          <w:rFonts w:ascii="Verdana" w:hAnsi="Verdana"/>
          <w:sz w:val="18"/>
        </w:rPr>
        <w:t xml:space="preserve"> </w:t>
      </w:r>
      <w:r>
        <w:rPr>
          <w:rFonts w:ascii="Verdana" w:hAnsi="Verdana"/>
          <w:sz w:val="18"/>
          <w:szCs w:val="18"/>
        </w:rPr>
        <w:br/>
      </w:r>
      <w:r>
        <w:rPr>
          <w:rFonts w:ascii="Georgia" w:hAnsi="Georgia"/>
          <w:color w:val="41525C"/>
          <w:sz w:val="19"/>
        </w:rPr>
        <w:t>Fundada em 1902, a The Manitowoc Company, Inc. é uma fabricante de bens de capital que atua em diversos setores industriais com 92 instalações de produção, distribuição e serviços em 25 países.  A empresa é reconhecida globalmente como uma das grandes inovadoras e fornecedoras de guindastes de esteira, guindastes de torre e guindastes móveis para o setor de construção pesada.  A Manitowoc também é uma das líderes mundiais na inovação e produção de equipamentos para o comércio de alimentos e bebidas, incluindo 24 marcas líderes de mercado de equipamentos focados em aquecimento e refrigeração.  Além disso, os dois segmentos são complementados por uma série de serviços de suporte de produtos líderes no setor.  Em 2014, a receita da Manitowoc somou US$ 3,9 bilhões, com aproximadamente metade dela gerada fora dos Estados Unidos.</w:t>
      </w:r>
    </w:p>
    <w:p w14:paraId="1BCE59DA" w14:textId="77777777" w:rsidR="00053C35" w:rsidRDefault="00053C35" w:rsidP="00A678F4">
      <w:pPr>
        <w:spacing w:line="276" w:lineRule="auto"/>
        <w:rPr>
          <w:rFonts w:ascii="Georgia" w:hAnsi="Georgia" w:cs="Georgia"/>
          <w:sz w:val="18"/>
          <w:szCs w:val="18"/>
        </w:rPr>
      </w:pPr>
    </w:p>
    <w:p w14:paraId="5659C6DA" w14:textId="77777777" w:rsidR="00F72134" w:rsidRPr="00A678F4" w:rsidRDefault="00F72134" w:rsidP="00A678F4">
      <w:pPr>
        <w:spacing w:line="276" w:lineRule="auto"/>
        <w:rPr>
          <w:rFonts w:ascii="Verdana" w:hAnsi="Verdana"/>
          <w:color w:val="41525C"/>
          <w:sz w:val="18"/>
          <w:szCs w:val="18"/>
        </w:rPr>
      </w:pPr>
    </w:p>
    <w:p w14:paraId="4D2E7E0C" w14:textId="77777777" w:rsidR="00A678F4" w:rsidRPr="00A678F4" w:rsidRDefault="00A678F4" w:rsidP="00A678F4">
      <w:pPr>
        <w:spacing w:line="276" w:lineRule="auto"/>
        <w:rPr>
          <w:sz w:val="18"/>
          <w:szCs w:val="18"/>
        </w:rPr>
      </w:pPr>
      <w:r>
        <w:rPr>
          <w:rFonts w:ascii="Verdana" w:hAnsi="Verdana"/>
          <w:color w:val="ED1C2A"/>
          <w:sz w:val="18"/>
        </w:rPr>
        <w:t>MANITOWOC CRANES</w:t>
      </w:r>
    </w:p>
    <w:p w14:paraId="0BA67EEF" w14:textId="77777777" w:rsidR="00A678F4" w:rsidRPr="00A678F4" w:rsidRDefault="00A678F4" w:rsidP="00A678F4">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EUA</w:t>
      </w:r>
    </w:p>
    <w:p w14:paraId="0D6051DF" w14:textId="77777777" w:rsidR="00A678F4" w:rsidRPr="00A678F4" w:rsidRDefault="00A678F4" w:rsidP="00A678F4">
      <w:pPr>
        <w:spacing w:line="276" w:lineRule="auto"/>
        <w:rPr>
          <w:sz w:val="18"/>
          <w:szCs w:val="18"/>
        </w:rPr>
      </w:pPr>
      <w:r>
        <w:rPr>
          <w:rFonts w:ascii="Verdana" w:hAnsi="Verdana"/>
          <w:color w:val="41525C"/>
          <w:sz w:val="18"/>
        </w:rPr>
        <w:t>T: +1 920 684 6621</w:t>
      </w:r>
    </w:p>
    <w:p w14:paraId="43319095" w14:textId="77777777" w:rsidR="00B631D6" w:rsidRPr="00587442" w:rsidRDefault="00D373C5" w:rsidP="00A678F4">
      <w:pPr>
        <w:spacing w:line="276" w:lineRule="auto"/>
        <w:rPr>
          <w:sz w:val="18"/>
          <w:szCs w:val="18"/>
        </w:rPr>
      </w:pPr>
      <w:hyperlink r:id="rId11">
        <w:r w:rsidR="00D52112">
          <w:rPr>
            <w:rStyle w:val="Hyperlink"/>
            <w:rFonts w:ascii="Verdana" w:hAnsi="Verdana"/>
            <w:b/>
            <w:color w:val="41525C"/>
            <w:sz w:val="18"/>
          </w:rPr>
          <w:t>www.manitowoccranes.com</w:t>
        </w:r>
      </w:hyperlink>
      <w:r w:rsidR="00F206B6">
        <w:rPr>
          <w:rStyle w:val="Hyperlink"/>
          <w:rFonts w:ascii="Verdana" w:hAnsi="Verdana"/>
          <w:b/>
          <w:color w:val="41525C"/>
          <w:sz w:val="18"/>
          <w:szCs w:val="18"/>
        </w:rPr>
        <w:softHyphen/>
      </w: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E6718" w14:textId="77777777" w:rsidR="00D373C5" w:rsidRDefault="00D373C5">
      <w:r>
        <w:separator/>
      </w:r>
    </w:p>
  </w:endnote>
  <w:endnote w:type="continuationSeparator" w:id="0">
    <w:p w14:paraId="26D1BE89" w14:textId="77777777" w:rsidR="00D373C5" w:rsidRDefault="00D3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08E07" w14:textId="77777777" w:rsidR="00A573A1" w:rsidRDefault="00A573A1" w:rsidP="00B631D6">
    <w:pPr>
      <w:pStyle w:val="Footer"/>
    </w:pPr>
    <w:r>
      <w:rPr>
        <w:noProof/>
        <w:lang w:val="en-US" w:eastAsia="en-US" w:bidi="ar-SA"/>
      </w:rPr>
      <w:drawing>
        <wp:anchor distT="0" distB="0" distL="114300" distR="114300" simplePos="0" relativeHeight="251659264" behindDoc="0" locked="1" layoutInCell="1" allowOverlap="1" wp14:anchorId="4DAF4CF1" wp14:editId="5927939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0795" w14:textId="77777777" w:rsidR="00A573A1" w:rsidRDefault="00A573A1">
    <w:pPr>
      <w:pStyle w:val="Footer"/>
    </w:pPr>
    <w:r>
      <w:rPr>
        <w:noProof/>
        <w:lang w:val="en-US" w:eastAsia="en-US" w:bidi="ar-SA"/>
      </w:rPr>
      <w:drawing>
        <wp:anchor distT="0" distB="0" distL="114300" distR="114300" simplePos="0" relativeHeight="251661312" behindDoc="0" locked="1" layoutInCell="1" allowOverlap="1" wp14:anchorId="5E56D49C" wp14:editId="4427581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D48A" w14:textId="77777777" w:rsidR="00D373C5" w:rsidRDefault="00D373C5">
      <w:r>
        <w:separator/>
      </w:r>
    </w:p>
  </w:footnote>
  <w:footnote w:type="continuationSeparator" w:id="0">
    <w:p w14:paraId="385F8515" w14:textId="77777777" w:rsidR="00D373C5" w:rsidRDefault="00D37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3DB9"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6E92A6B0" w14:textId="77777777" w:rsidR="00BE2BC1" w:rsidRDefault="00BE2BC1" w:rsidP="00163032">
    <w:pPr>
      <w:spacing w:line="276" w:lineRule="auto"/>
      <w:rPr>
        <w:rFonts w:ascii="Verdana" w:hAnsi="Verdana"/>
        <w:b/>
        <w:color w:val="41525C"/>
        <w:sz w:val="18"/>
        <w:szCs w:val="18"/>
      </w:rPr>
    </w:pPr>
    <w:r>
      <w:rPr>
        <w:rFonts w:ascii="Verdana" w:hAnsi="Verdana"/>
        <w:b/>
        <w:color w:val="41525C"/>
        <w:sz w:val="18"/>
      </w:rPr>
      <w:t>Apresentação do novo CEO da Manitowoc Cranes, Barry L. Pennypacker</w:t>
    </w:r>
  </w:p>
  <w:p w14:paraId="0B11AEE5" w14:textId="77777777" w:rsidR="00A573A1" w:rsidRPr="00164A29" w:rsidRDefault="007E59F7" w:rsidP="00163032">
    <w:pPr>
      <w:spacing w:line="276" w:lineRule="auto"/>
      <w:rPr>
        <w:rFonts w:ascii="Verdana" w:hAnsi="Verdana"/>
        <w:color w:val="ED1C2A"/>
        <w:sz w:val="18"/>
        <w:szCs w:val="18"/>
      </w:rPr>
    </w:pPr>
    <w:r>
      <w:rPr>
        <w:rFonts w:ascii="Verdana" w:hAnsi="Verdana"/>
        <w:color w:val="41525C"/>
        <w:sz w:val="18"/>
      </w:rPr>
      <w:t>27</w:t>
    </w:r>
    <w:r w:rsidR="00ED017E">
      <w:rPr>
        <w:rFonts w:ascii="Verdana" w:hAnsi="Verdana"/>
        <w:color w:val="41525C"/>
        <w:sz w:val="18"/>
      </w:rPr>
      <w:t xml:space="preserve"> de janeiro de 2016</w:t>
    </w:r>
  </w:p>
  <w:p w14:paraId="406F4276" w14:textId="77777777" w:rsidR="00A573A1" w:rsidRPr="003E31C0" w:rsidRDefault="00A573A1" w:rsidP="00163032">
    <w:pPr>
      <w:spacing w:line="276" w:lineRule="auto"/>
      <w:rPr>
        <w:rFonts w:ascii="Verdana" w:hAnsi="Verdana"/>
        <w:sz w:val="16"/>
        <w:szCs w:val="16"/>
      </w:rPr>
    </w:pPr>
  </w:p>
  <w:p w14:paraId="07557659" w14:textId="77777777" w:rsidR="00A573A1" w:rsidRDefault="00A573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E59F7"/>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4406"/>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3C5"/>
    <w:rsid w:val="00D376BF"/>
    <w:rsid w:val="00D42915"/>
    <w:rsid w:val="00D4675D"/>
    <w:rsid w:val="00D479D1"/>
    <w:rsid w:val="00D5209B"/>
    <w:rsid w:val="00D52112"/>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06B6"/>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36571"/>
  <w15:docId w15:val="{4F582C10-853D-4FAB-A1EE-13D80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pt-B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1341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4A83-51C9-314E-8272-A55F6A64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5911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2015-08-27T15:06:00Z</cp:lastPrinted>
  <dcterms:created xsi:type="dcterms:W3CDTF">2016-01-20T22:39:00Z</dcterms:created>
  <dcterms:modified xsi:type="dcterms:W3CDTF">2016-01-27T20:55:00Z</dcterms:modified>
</cp:coreProperties>
</file>