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671C"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COMMUNIQUÉ DE PRESSE</w:t>
      </w:r>
    </w:p>
    <w:p w14:paraId="2D11682D" w14:textId="77777777" w:rsidR="0092578F" w:rsidRPr="00164A29" w:rsidRDefault="00995A30" w:rsidP="0092578F">
      <w:pPr>
        <w:spacing w:line="276" w:lineRule="auto"/>
        <w:jc w:val="right"/>
        <w:rPr>
          <w:rFonts w:ascii="Verdana" w:hAnsi="Verdana"/>
          <w:color w:val="ED1C2A"/>
          <w:sz w:val="18"/>
          <w:szCs w:val="18"/>
        </w:rPr>
      </w:pPr>
      <w:r>
        <w:rPr>
          <w:rFonts w:ascii="Verdana" w:hAnsi="Verdana"/>
          <w:color w:val="41525C"/>
          <w:sz w:val="18"/>
        </w:rPr>
        <w:t xml:space="preserve">Le </w:t>
      </w:r>
      <w:r w:rsidR="00650FA3">
        <w:rPr>
          <w:rFonts w:ascii="Verdana" w:hAnsi="Verdana"/>
          <w:color w:val="41525C"/>
          <w:sz w:val="18"/>
        </w:rPr>
        <w:t>27</w:t>
      </w:r>
      <w:r>
        <w:rPr>
          <w:rFonts w:ascii="Verdana" w:hAnsi="Verdana"/>
          <w:color w:val="41525C"/>
          <w:sz w:val="18"/>
        </w:rPr>
        <w:t xml:space="preserve"> janvier 2016</w:t>
      </w:r>
    </w:p>
    <w:p w14:paraId="0FD6595F" w14:textId="77777777"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0631AAB1" wp14:editId="3A6E012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D2F4EE1"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0AF1DE84" w14:textId="77777777" w:rsidR="00163032" w:rsidRDefault="00163032" w:rsidP="00163032">
      <w:pPr>
        <w:tabs>
          <w:tab w:val="left" w:pos="6096"/>
        </w:tabs>
        <w:spacing w:line="276" w:lineRule="auto"/>
        <w:rPr>
          <w:rFonts w:ascii="Verdana" w:hAnsi="Verdana"/>
          <w:color w:val="ED1C2A"/>
          <w:sz w:val="30"/>
          <w:szCs w:val="30"/>
        </w:rPr>
      </w:pPr>
    </w:p>
    <w:p w14:paraId="7BF21A15"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Pr>
          <w:rStyle w:val="moduletitletext"/>
          <w:rFonts w:ascii="Georgia" w:hAnsi="Georgia"/>
          <w:sz w:val="28"/>
        </w:rPr>
        <w:t>The Manitowoc Company nomme Barry L. Pennypacker président-directeur général de Manitowoc Cranes</w:t>
      </w:r>
    </w:p>
    <w:p w14:paraId="11DF974F"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The Manitowoc Company a annoncé le 28 décembre 2015 la nomination de</w:t>
      </w:r>
      <w:r>
        <w:rPr>
          <w:rStyle w:val="apple-converted-space"/>
          <w:rFonts w:ascii="Georgia" w:hAnsi="Georgia"/>
          <w:sz w:val="21"/>
        </w:rPr>
        <w:t> </w:t>
      </w:r>
      <w:r>
        <w:rPr>
          <w:rFonts w:ascii="Georgia" w:hAnsi="Georgia"/>
          <w:sz w:val="21"/>
        </w:rPr>
        <w:t>Barry L. Pennypacker</w:t>
      </w:r>
      <w:r>
        <w:rPr>
          <w:rStyle w:val="apple-converted-space"/>
          <w:rFonts w:ascii="Georgia" w:hAnsi="Georgia"/>
          <w:sz w:val="21"/>
        </w:rPr>
        <w:t> </w:t>
      </w:r>
      <w:r>
        <w:rPr>
          <w:rFonts w:ascii="Georgia" w:hAnsi="Georgia"/>
          <w:sz w:val="21"/>
        </w:rPr>
        <w:t>au poste de président-directeur général de Manitowoc Cranes. M. Pennypacker, qui entre en fonction immédiatement, dépendra de l'actuel président-directeur général par intérim de</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Kenneth W. Krueger. Larry J. Weyers, le président actuel de Manitowoc Cranes, restera au sein de la société au poste de vice-président directeur de Manitowoc Cranes.</w:t>
      </w:r>
    </w:p>
    <w:p w14:paraId="49BC78F5"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 Barry apporte une perspective nouvelle aux activités de Manitowoc Cranes. Son style de leadership axé sur les résultats a entraîné la transformation de plusieurs entreprises complexes grâce à des améliorations continues des processus, qui se sont soldées par des progrès importants en matière de résultats opérationnels et financiers et par un accroissement de la valeur pour les actionnaires. En outre, son expertise industrielle poussée, combinée à la réussite des nombreuses initiatives lean qu'il a menées tout au long de sa carrière, en fait un excellent candidat pour remettre Manitowoc Cranes sur les rails de la croissance et d'une rentabilité accrue en s'appuyant sur ses positions de leader sur le marché », déclare Kenneth Krueger.</w:t>
      </w:r>
    </w:p>
    <w:p w14:paraId="5E791EE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Dès que la scission de</w:t>
      </w:r>
      <w:r>
        <w:rPr>
          <w:rStyle w:val="apple-converted-space"/>
          <w:rFonts w:ascii="Georgia" w:hAnsi="Georgia"/>
          <w:sz w:val="21"/>
        </w:rPr>
        <w:t> </w:t>
      </w:r>
      <w:r>
        <w:rPr>
          <w:rFonts w:ascii="Georgia" w:hAnsi="Georgia"/>
          <w:sz w:val="21"/>
        </w:rPr>
        <w:t>Manitowoc Foodservice annoncée précédemment aura eu lieu,</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changera de nom pour devenir Manitowoc Cranes, Inc.</w:t>
      </w:r>
      <w:r>
        <w:rPr>
          <w:rStyle w:val="apple-converted-space"/>
          <w:rFonts w:ascii="Georgia" w:hAnsi="Georgia"/>
          <w:sz w:val="21"/>
        </w:rPr>
        <w:t> </w:t>
      </w:r>
      <w:r>
        <w:rPr>
          <w:rFonts w:ascii="Georgia" w:hAnsi="Georgia"/>
          <w:sz w:val="21"/>
        </w:rPr>
        <w:t>et M. Pennypacker en deviendra alors le président-directeur général, tandis que M. Krueger en sera le président du conseil d'administration.</w:t>
      </w:r>
    </w:p>
    <w:p w14:paraId="67A26957"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Tout dernièrement, M. Pennypacker était le président fondateur et le directeur général de</w:t>
      </w:r>
      <w:r>
        <w:rPr>
          <w:rStyle w:val="apple-converted-space"/>
          <w:rFonts w:ascii="Georgia" w:hAnsi="Georgia"/>
          <w:sz w:val="21"/>
        </w:rPr>
        <w:t> </w:t>
      </w:r>
      <w:r>
        <w:rPr>
          <w:rFonts w:ascii="Georgia" w:hAnsi="Georgia"/>
          <w:sz w:val="21"/>
        </w:rPr>
        <w:t>Quantum Lean LLC, fabricant et fournisseur privé de composants de précision. Auparavant, de 2008 à 2012, il a été président-directeur général et administrateur de</w:t>
      </w:r>
      <w:r>
        <w:rPr>
          <w:rStyle w:val="apple-converted-space"/>
          <w:rFonts w:ascii="Georgia" w:hAnsi="Georgia"/>
          <w:sz w:val="21"/>
        </w:rPr>
        <w:t> </w:t>
      </w:r>
      <w:r>
        <w:rPr>
          <w:rFonts w:ascii="Georgia" w:hAnsi="Georgia"/>
          <w:sz w:val="21"/>
        </w:rPr>
        <w:t>Gardner Denver Inc., fabricant et vendeur de machines industrielles, offrant également les pièces et services associés. À ce poste, il a mis en place une culture de la haute performance qui a été très bénéfique en termes de valeur pour les clients, les employés et les actionnaires.</w:t>
      </w:r>
    </w:p>
    <w:p w14:paraId="5CB01302"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Avant de travailler pour Gardner Denver, M. Pennypacker a occupé divers postes avec de plus en plus de responsabilités chez</w:t>
      </w:r>
      <w:r>
        <w:rPr>
          <w:rStyle w:val="apple-converted-space"/>
          <w:rFonts w:ascii="Georgia" w:hAnsi="Georgia"/>
          <w:sz w:val="21"/>
        </w:rPr>
        <w:t> </w:t>
      </w:r>
      <w:r>
        <w:rPr>
          <w:rFonts w:ascii="Georgia" w:hAnsi="Georgia"/>
          <w:sz w:val="21"/>
        </w:rPr>
        <w:t>Westinghouse Air Brake Technologies Corporation, fournisseur à l'échelle mondiale d'équipement et de services technologiques pour l'industrie ferroviaire. Son dernier poste y a été celui de</w:t>
      </w:r>
      <w:r>
        <w:rPr>
          <w:rStyle w:val="apple-converted-space"/>
          <w:rFonts w:ascii="Georgia" w:hAnsi="Georgia"/>
          <w:sz w:val="21"/>
        </w:rPr>
        <w:t> </w:t>
      </w:r>
      <w:r>
        <w:rPr>
          <w:rFonts w:ascii="Georgia" w:hAnsi="Georgia"/>
          <w:sz w:val="21"/>
        </w:rPr>
        <w:t>vice-président et coordinateur</w:t>
      </w:r>
      <w:r>
        <w:rPr>
          <w:rStyle w:val="apple-converted-space"/>
          <w:rFonts w:ascii="Georgia" w:hAnsi="Georgia"/>
          <w:sz w:val="21"/>
        </w:rPr>
        <w:t> </w:t>
      </w:r>
      <w:r>
        <w:rPr>
          <w:rFonts w:ascii="Georgia" w:hAnsi="Georgia"/>
          <w:sz w:val="21"/>
        </w:rPr>
        <w:t>en chef. Il a aussi été en place à un certain nombre de postes de direction et d'exploitation au cours de son passage chez The Stanley Works, producteur mondial d'outils et d'articles de sécurité, et chez</w:t>
      </w:r>
      <w:r>
        <w:rPr>
          <w:rStyle w:val="apple-converted-space"/>
          <w:rFonts w:ascii="Georgia" w:hAnsi="Georgia"/>
          <w:sz w:val="21"/>
        </w:rPr>
        <w:t> </w:t>
      </w:r>
      <w:r>
        <w:rPr>
          <w:rFonts w:ascii="Georgia" w:hAnsi="Georgia"/>
          <w:sz w:val="21"/>
        </w:rPr>
        <w:t>Danaher Corporation, fabricant et vendeur de produits et services professionnels, médicaux, industriels et commerciaux.</w:t>
      </w:r>
    </w:p>
    <w:p w14:paraId="69D61CD9"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lastRenderedPageBreak/>
        <w:t>M. Pennypacker est titulaire d'un diplôme de premier cycle en sciences de gestion des opérations de l'Université</w:t>
      </w:r>
      <w:r>
        <w:rPr>
          <w:rStyle w:val="apple-converted-space"/>
          <w:rFonts w:ascii="Georgia" w:hAnsi="Georgia"/>
          <w:sz w:val="21"/>
        </w:rPr>
        <w:t> </w:t>
      </w:r>
      <w:r>
        <w:rPr>
          <w:rFonts w:ascii="Georgia" w:hAnsi="Georgia"/>
          <w:sz w:val="21"/>
        </w:rPr>
        <w:t>Pennsylvania State</w:t>
      </w:r>
      <w:r>
        <w:rPr>
          <w:rStyle w:val="apple-converted-space"/>
          <w:rFonts w:ascii="Georgia" w:hAnsi="Georgia"/>
          <w:sz w:val="21"/>
        </w:rPr>
        <w:t> </w:t>
      </w:r>
      <w:r>
        <w:rPr>
          <w:rFonts w:ascii="Georgia" w:hAnsi="Georgia"/>
          <w:sz w:val="21"/>
        </w:rPr>
        <w:t>et d'un M.B.A. en recherche opérationnelle de l'Université Saint-Joseph.</w:t>
      </w:r>
    </w:p>
    <w:p w14:paraId="561DAAF7"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b/>
          <w:i/>
          <w:sz w:val="21"/>
        </w:rPr>
        <w:t>Énoncés prospectifs</w:t>
      </w:r>
    </w:p>
    <w:p w14:paraId="4B34A26B"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Ce communiqué de presse contient des « énoncés prospectifs » censés répondre aux règles d'exonération de responsabilité en vertu de la loi américaine de 1995 intitulée Private Securities Litigation Reform Act. Tout énoncé qui figure dans ce communiqué de presse et qui n'est pas un fait historique est un énoncé prospectif au sens de la loi de 1995 intitulée Private Securities Litigation Reform Act. Ces énoncés sont basés sur les prévisions actuelles de la direction de la société et sont assujettis à l'incertitude et aux changements de circonstances. Les énoncés prospectifs comprennent, sans s'y limiter, des énoncés contenant généralement des expressions comme « a l'intention de », « s'attend à », « prévoit », « vise », « estime » et des mots ayant un sens similaire. De par leur nature, les énoncés prospectifs ne garantissent en rien des performances ou des résultats futurs et ils comportent des risques et des incertitudes car ils sont liés à des événements et dépendent de circonstances qui se produiront dans l'avenir. Il existe un certain nombre de facteurs qui pourraient faire que les résultats et évolutions réels diffèrent sensiblement de ceux exprimés ou sous-entendus dans de tels énoncés prospectifs. Parmi ces facteurs figurent entre autres :</w:t>
      </w:r>
    </w:p>
    <w:p w14:paraId="3D47B0CC"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les effets négatifs possibles sur les opérations commerciales, les actifs ou les résultats financiers de la société, consécutivement à sa séparation prévue en deux sociétés indépendantes cotées en bourse ;</w:t>
      </w:r>
    </w:p>
    <w:p w14:paraId="0256585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capitalisation des deux sociétés indépendantes ;</w:t>
      </w:r>
    </w:p>
    <w:p w14:paraId="45885128"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des fluctuations imprévues dans les recettes, les marges, les coûts et les dépenses en immobilisations ;</w:t>
      </w:r>
    </w:p>
    <w:p w14:paraId="199E4AEC"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capacité à améliorer substantiellement la rentabilité ;</w:t>
      </w:r>
    </w:p>
    <w:p w14:paraId="68ACEC9D"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capacité à accroître l'efficacité opérationnelle dans chacun des segments d'activité de Manitowoc et à tirer parti de cette efficacité ;</w:t>
      </w:r>
    </w:p>
    <w:p w14:paraId="4CFE3BA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 xml:space="preserve">la concrétisation des hausses de bénéfices, économies, options stratégiques et autres synergies prévues, et l'échéance pressentie de cette concrétisation ; </w:t>
      </w:r>
    </w:p>
    <w:p w14:paraId="5043F9E5"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les risques et autres facteurs cités dans les documents soumis par</w:t>
      </w:r>
      <w:r>
        <w:rPr>
          <w:rStyle w:val="apple-converted-space"/>
          <w:rFonts w:ascii="Georgia" w:hAnsi="Georgia"/>
          <w:i/>
          <w:sz w:val="21"/>
        </w:rPr>
        <w:t> </w:t>
      </w:r>
      <w:r>
        <w:rPr>
          <w:rFonts w:ascii="Georgia" w:hAnsi="Georgia"/>
          <w:i/>
          <w:sz w:val="21"/>
        </w:rPr>
        <w:t>Manitowoc</w:t>
      </w:r>
      <w:r>
        <w:rPr>
          <w:rStyle w:val="apple-converted-space"/>
          <w:rFonts w:ascii="Georgia" w:hAnsi="Georgia"/>
          <w:i/>
          <w:sz w:val="21"/>
        </w:rPr>
        <w:t> </w:t>
      </w:r>
      <w:r>
        <w:rPr>
          <w:rFonts w:ascii="Georgia" w:hAnsi="Georgia"/>
          <w:i/>
          <w:sz w:val="21"/>
        </w:rPr>
        <w:t>à la</w:t>
      </w:r>
      <w:r>
        <w:rPr>
          <w:rStyle w:val="apple-converted-space"/>
          <w:rFonts w:ascii="Georgia" w:hAnsi="Georgia"/>
          <w:i/>
          <w:sz w:val="21"/>
        </w:rPr>
        <w:t> </w:t>
      </w:r>
      <w:r>
        <w:rPr>
          <w:rFonts w:ascii="Georgia" w:hAnsi="Georgia"/>
          <w:i/>
          <w:sz w:val="21"/>
        </w:rPr>
        <w:t>Securities and Exchange Commission américaine.</w:t>
      </w:r>
    </w:p>
    <w:p w14:paraId="5AD699CF"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Manitowoc</w:t>
      </w:r>
      <w:r>
        <w:rPr>
          <w:rStyle w:val="apple-converted-space"/>
          <w:rFonts w:ascii="Georgia" w:hAnsi="Georgia"/>
          <w:i/>
          <w:sz w:val="21"/>
        </w:rPr>
        <w:t> </w:t>
      </w:r>
      <w:r>
        <w:rPr>
          <w:rFonts w:ascii="Georgia" w:hAnsi="Georgia"/>
          <w:i/>
          <w:sz w:val="21"/>
        </w:rPr>
        <w:t xml:space="preserve">ne s'engage aucunement à mettre à jour ou à réviser les énoncés prospectifs à la lumière de nouvelles informations, d'événements futurs ou autres. Les énoncés prospectifs ne sont valables qu'à la date de leur rédaction. Des renseignements sur les facteurs potentiels susceptibles d'affecter les résultats opérationnels réels de la société figurent dans les documents qu'elle a soumis à la </w:t>
      </w:r>
      <w:r>
        <w:rPr>
          <w:rFonts w:ascii="Georgia" w:hAnsi="Georgia"/>
          <w:i/>
          <w:sz w:val="21"/>
        </w:rPr>
        <w:lastRenderedPageBreak/>
        <w:t>Securities and Exchange Commission, y compris mais sans s'y limiter dans son rapport annuel sur le formulaire 10-K pour l'exercice financier terminé le</w:t>
      </w:r>
      <w:r>
        <w:rPr>
          <w:rStyle w:val="apple-converted-space"/>
          <w:rFonts w:ascii="Georgia" w:hAnsi="Georgia"/>
          <w:i/>
          <w:sz w:val="21"/>
        </w:rPr>
        <w:t> </w:t>
      </w:r>
      <w:r>
        <w:rPr>
          <w:rFonts w:ascii="Georgia" w:hAnsi="Georgia"/>
          <w:i/>
          <w:sz w:val="21"/>
        </w:rPr>
        <w:t>31 décembre 2014.</w:t>
      </w:r>
    </w:p>
    <w:p w14:paraId="75D78F4F" w14:textId="77777777"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14:paraId="69A1C63A"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7E3E9B13" w14:textId="77777777" w:rsidR="00973E22" w:rsidRDefault="00973E22" w:rsidP="00A678F4">
      <w:pPr>
        <w:spacing w:line="276" w:lineRule="auto"/>
        <w:rPr>
          <w:rFonts w:ascii="Verdana" w:hAnsi="Verdana"/>
          <w:color w:val="ED1C2A"/>
          <w:sz w:val="18"/>
          <w:szCs w:val="18"/>
        </w:rPr>
      </w:pPr>
    </w:p>
    <w:p w14:paraId="42D01958" w14:textId="77777777" w:rsidR="00164A29" w:rsidRPr="00A678F4" w:rsidRDefault="00164A29" w:rsidP="00A678F4">
      <w:pPr>
        <w:spacing w:line="276" w:lineRule="auto"/>
        <w:rPr>
          <w:rFonts w:ascii="Verdana" w:hAnsi="Verdana"/>
          <w:b/>
          <w:color w:val="41525C"/>
          <w:sz w:val="18"/>
          <w:szCs w:val="18"/>
        </w:rPr>
      </w:pPr>
      <w:r>
        <w:rPr>
          <w:rFonts w:ascii="Verdana" w:hAnsi="Verdana"/>
          <w:color w:val="ED1C2A"/>
          <w:sz w:val="18"/>
        </w:rPr>
        <w:t xml:space="preserve">CONTACT </w:t>
      </w:r>
      <w:r>
        <w:tab/>
      </w:r>
      <w:r>
        <w:tab/>
      </w:r>
      <w:r>
        <w:tab/>
      </w:r>
      <w:r>
        <w:tab/>
      </w:r>
    </w:p>
    <w:p w14:paraId="44691F1C" w14:textId="77777777"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0FDB3C5B" w14:textId="77777777" w:rsidR="00164A29" w:rsidRPr="00A678F4" w:rsidRDefault="00164A29" w:rsidP="00D4675D">
      <w:pPr>
        <w:tabs>
          <w:tab w:val="left" w:pos="3969"/>
        </w:tabs>
        <w:spacing w:line="276" w:lineRule="auto"/>
        <w:rPr>
          <w:rFonts w:ascii="Verdana" w:hAnsi="Verdana"/>
          <w:color w:val="41525C"/>
          <w:sz w:val="18"/>
          <w:szCs w:val="18"/>
        </w:rPr>
      </w:pPr>
      <w:r>
        <w:rPr>
          <w:rFonts w:ascii="Verdana" w:hAnsi="Verdana"/>
          <w:color w:val="41525C"/>
          <w:sz w:val="18"/>
        </w:rPr>
        <w:t>Manitowoc Cranes</w:t>
      </w:r>
      <w:r>
        <w:tab/>
      </w:r>
      <w:r>
        <w:rPr>
          <w:rFonts w:ascii="Verdana" w:hAnsi="Verdana"/>
          <w:color w:val="41525C"/>
          <w:sz w:val="18"/>
        </w:rPr>
        <w:t>SE10</w:t>
      </w:r>
    </w:p>
    <w:p w14:paraId="68A737F6" w14:textId="77777777" w:rsidR="00164A29" w:rsidRPr="00A678F4" w:rsidRDefault="00D4675D" w:rsidP="00D4675D">
      <w:pPr>
        <w:tabs>
          <w:tab w:val="left" w:pos="3969"/>
        </w:tabs>
        <w:spacing w:line="276" w:lineRule="auto"/>
        <w:rPr>
          <w:rFonts w:ascii="Verdana" w:hAnsi="Verdana"/>
          <w:color w:val="41525C"/>
          <w:sz w:val="18"/>
          <w:szCs w:val="18"/>
        </w:rPr>
      </w:pPr>
      <w:r>
        <w:rPr>
          <w:rFonts w:ascii="Verdana" w:hAnsi="Verdana"/>
          <w:color w:val="41525C"/>
          <w:sz w:val="18"/>
        </w:rPr>
        <w:t>T +1 920 683 6345</w:t>
      </w:r>
      <w:r>
        <w:tab/>
      </w:r>
      <w:r>
        <w:rPr>
          <w:rFonts w:ascii="Verdana" w:hAnsi="Verdana"/>
          <w:color w:val="41525C"/>
          <w:sz w:val="18"/>
        </w:rPr>
        <w:t>T +1 312 548 8441</w:t>
      </w:r>
    </w:p>
    <w:p w14:paraId="721ACE74" w14:textId="77777777" w:rsidR="003466E0" w:rsidRDefault="00A6215A" w:rsidP="00D4675D">
      <w:pPr>
        <w:tabs>
          <w:tab w:val="left" w:pos="1055"/>
          <w:tab w:val="left" w:pos="3969"/>
          <w:tab w:val="left" w:pos="6379"/>
          <w:tab w:val="left" w:pos="7371"/>
        </w:tabs>
        <w:spacing w:line="276" w:lineRule="auto"/>
        <w:rPr>
          <w:rFonts w:ascii="Verdana" w:hAnsi="Verdana"/>
          <w:sz w:val="18"/>
          <w:szCs w:val="18"/>
        </w:rPr>
      </w:pPr>
      <w:hyperlink r:id="rId9">
        <w:r w:rsidR="00D52112">
          <w:rPr>
            <w:rStyle w:val="Hyperlink"/>
            <w:rFonts w:ascii="Verdana" w:hAnsi="Verdana"/>
            <w:sz w:val="18"/>
          </w:rPr>
          <w:t>amy.marten@manitowoc.com</w:t>
        </w:r>
      </w:hyperlink>
      <w:r w:rsidR="00D52112">
        <w:tab/>
      </w:r>
      <w:hyperlink r:id="rId10">
        <w:r w:rsidR="00D52112">
          <w:rPr>
            <w:rStyle w:val="Hyperlink"/>
            <w:rFonts w:ascii="Verdana" w:hAnsi="Verdana"/>
            <w:sz w:val="18"/>
          </w:rPr>
          <w:t>damian.joseph@se10.com</w:t>
        </w:r>
      </w:hyperlink>
    </w:p>
    <w:p w14:paraId="096F1C2C" w14:textId="77777777" w:rsidR="00164A29" w:rsidRDefault="00A678F4" w:rsidP="00D4675D">
      <w:pPr>
        <w:tabs>
          <w:tab w:val="left" w:pos="1055"/>
          <w:tab w:val="left" w:pos="3969"/>
          <w:tab w:val="left" w:pos="6379"/>
          <w:tab w:val="left" w:pos="7371"/>
        </w:tabs>
        <w:spacing w:line="276" w:lineRule="auto"/>
      </w:pPr>
      <w:r>
        <w:tab/>
      </w:r>
    </w:p>
    <w:p w14:paraId="06988A59" w14:textId="77777777" w:rsidR="00D12693" w:rsidRPr="00A678F4" w:rsidRDefault="00D12693" w:rsidP="00D4675D">
      <w:pPr>
        <w:tabs>
          <w:tab w:val="left" w:pos="1055"/>
          <w:tab w:val="left" w:pos="3969"/>
          <w:tab w:val="left" w:pos="6379"/>
          <w:tab w:val="left" w:pos="7371"/>
        </w:tabs>
        <w:spacing w:line="276" w:lineRule="auto"/>
        <w:rPr>
          <w:rFonts w:ascii="Verdana" w:hAnsi="Verdana"/>
          <w:b/>
          <w:color w:val="41525C"/>
          <w:sz w:val="18"/>
          <w:szCs w:val="18"/>
        </w:rPr>
      </w:pPr>
    </w:p>
    <w:p w14:paraId="25001AF3" w14:textId="77777777" w:rsidR="00D12693" w:rsidRDefault="00D12693" w:rsidP="00D12693">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Fondée en 1902, The Manitowoc Company,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1016B2F9" w14:textId="77777777" w:rsidR="00053C35" w:rsidRDefault="00053C35" w:rsidP="00A678F4">
      <w:pPr>
        <w:spacing w:line="276" w:lineRule="auto"/>
        <w:rPr>
          <w:rFonts w:ascii="Georgia" w:hAnsi="Georgia" w:cs="Georgia"/>
          <w:sz w:val="18"/>
          <w:szCs w:val="18"/>
        </w:rPr>
      </w:pPr>
    </w:p>
    <w:p w14:paraId="51DCB400" w14:textId="77777777" w:rsidR="00F72134" w:rsidRPr="00A678F4" w:rsidRDefault="00F72134" w:rsidP="00A678F4">
      <w:pPr>
        <w:spacing w:line="276" w:lineRule="auto"/>
        <w:rPr>
          <w:rFonts w:ascii="Verdana" w:hAnsi="Verdana"/>
          <w:color w:val="41525C"/>
          <w:sz w:val="18"/>
          <w:szCs w:val="18"/>
        </w:rPr>
      </w:pPr>
    </w:p>
    <w:p w14:paraId="1AF25106" w14:textId="77777777" w:rsidR="00A678F4" w:rsidRPr="00A678F4" w:rsidRDefault="00A678F4" w:rsidP="00A678F4">
      <w:pPr>
        <w:spacing w:line="276" w:lineRule="auto"/>
        <w:rPr>
          <w:sz w:val="18"/>
          <w:szCs w:val="18"/>
        </w:rPr>
      </w:pPr>
      <w:r>
        <w:rPr>
          <w:rFonts w:ascii="Verdana" w:hAnsi="Verdana"/>
          <w:color w:val="ED1C2A"/>
          <w:sz w:val="18"/>
        </w:rPr>
        <w:t>MANITOWOC CRANES</w:t>
      </w:r>
    </w:p>
    <w:p w14:paraId="5D1B11AB" w14:textId="77777777" w:rsidR="00A678F4" w:rsidRPr="00A678F4" w:rsidRDefault="00A678F4" w:rsidP="00A678F4">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USA</w:t>
      </w:r>
    </w:p>
    <w:p w14:paraId="7281B9B0" w14:textId="77777777" w:rsidR="00A678F4" w:rsidRPr="00A678F4" w:rsidRDefault="00A678F4" w:rsidP="00A678F4">
      <w:pPr>
        <w:spacing w:line="276" w:lineRule="auto"/>
        <w:rPr>
          <w:sz w:val="18"/>
          <w:szCs w:val="18"/>
        </w:rPr>
      </w:pPr>
      <w:r>
        <w:rPr>
          <w:rFonts w:ascii="Verdana" w:hAnsi="Verdana"/>
          <w:color w:val="41525C"/>
          <w:sz w:val="18"/>
        </w:rPr>
        <w:t>T +1 920 684 6621</w:t>
      </w:r>
    </w:p>
    <w:p w14:paraId="75BD9CB4" w14:textId="77777777" w:rsidR="00B631D6" w:rsidRPr="00587442" w:rsidRDefault="00A6215A" w:rsidP="00A678F4">
      <w:pPr>
        <w:spacing w:line="276" w:lineRule="auto"/>
        <w:rPr>
          <w:sz w:val="18"/>
          <w:szCs w:val="18"/>
        </w:rPr>
      </w:pPr>
      <w:hyperlink r:id="rId11">
        <w:r w:rsidR="00D52112">
          <w:rPr>
            <w:rStyle w:val="Hyperlink"/>
            <w:rFonts w:ascii="Verdana" w:hAnsi="Verdana"/>
            <w:b/>
            <w:color w:val="41525C"/>
            <w:sz w:val="18"/>
          </w:rPr>
          <w:t>www.manitowoccranes.com</w:t>
        </w:r>
      </w:hyperlink>
      <w:r w:rsidR="00DF48AE">
        <w:rPr>
          <w:rStyle w:val="Hyperlink"/>
          <w:rFonts w:ascii="Verdana" w:hAnsi="Verdana"/>
          <w:b/>
          <w:color w:val="41525C"/>
          <w:sz w:val="18"/>
          <w:szCs w:val="18"/>
        </w:rPr>
        <w:softHyphen/>
      </w:r>
    </w:p>
    <w:sectPr w:rsidR="00B631D6" w:rsidRPr="00587442"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C2453" w14:textId="77777777" w:rsidR="00A6215A" w:rsidRDefault="00A6215A">
      <w:r>
        <w:separator/>
      </w:r>
    </w:p>
  </w:endnote>
  <w:endnote w:type="continuationSeparator" w:id="0">
    <w:p w14:paraId="7A760B46" w14:textId="77777777" w:rsidR="00A6215A" w:rsidRDefault="00A6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C309" w14:textId="77777777" w:rsidR="00650FA3" w:rsidRDefault="00650F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C2D1" w14:textId="77777777" w:rsidR="00A573A1" w:rsidRDefault="00A573A1" w:rsidP="00B631D6">
    <w:pPr>
      <w:pStyle w:val="Footer"/>
    </w:pPr>
    <w:r>
      <w:rPr>
        <w:noProof/>
        <w:lang w:val="en-US" w:eastAsia="en-US" w:bidi="ar-SA"/>
      </w:rPr>
      <w:drawing>
        <wp:anchor distT="0" distB="0" distL="114300" distR="114300" simplePos="0" relativeHeight="251659264" behindDoc="0" locked="1" layoutInCell="1" allowOverlap="1" wp14:anchorId="7026AD51" wp14:editId="16D3F9DC">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55E3" w14:textId="77777777" w:rsidR="00A573A1" w:rsidRDefault="00A573A1">
    <w:pPr>
      <w:pStyle w:val="Footer"/>
    </w:pPr>
    <w:r>
      <w:rPr>
        <w:noProof/>
        <w:lang w:val="en-US" w:eastAsia="en-US" w:bidi="ar-SA"/>
      </w:rPr>
      <w:drawing>
        <wp:anchor distT="0" distB="0" distL="114300" distR="114300" simplePos="0" relativeHeight="251661312" behindDoc="0" locked="1" layoutInCell="1" allowOverlap="1" wp14:anchorId="5D252318" wp14:editId="74C0361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97D1" w14:textId="77777777" w:rsidR="00A6215A" w:rsidRDefault="00A6215A">
      <w:r>
        <w:separator/>
      </w:r>
    </w:p>
  </w:footnote>
  <w:footnote w:type="continuationSeparator" w:id="0">
    <w:p w14:paraId="37911A7B" w14:textId="77777777" w:rsidR="00A6215A" w:rsidRDefault="00A621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B0B83" w14:textId="77777777" w:rsidR="00650FA3" w:rsidRDefault="00650F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D677"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2687819A" w14:textId="77777777" w:rsidR="00BE2BC1" w:rsidRDefault="00BE2BC1" w:rsidP="00163032">
    <w:pPr>
      <w:spacing w:line="276" w:lineRule="auto"/>
      <w:rPr>
        <w:rFonts w:ascii="Verdana" w:hAnsi="Verdana"/>
        <w:b/>
        <w:color w:val="41525C"/>
        <w:sz w:val="18"/>
        <w:szCs w:val="18"/>
      </w:rPr>
    </w:pPr>
    <w:r>
      <w:rPr>
        <w:rFonts w:ascii="Verdana" w:hAnsi="Verdana"/>
        <w:b/>
        <w:color w:val="41525C"/>
        <w:sz w:val="18"/>
      </w:rPr>
      <w:t>Présentation du nouveau PDG de Manitowoc Cranes, Barry L. Pennypacker</w:t>
    </w:r>
  </w:p>
  <w:p w14:paraId="3783B9C7" w14:textId="77777777" w:rsidR="00A573A1" w:rsidRPr="00164A29" w:rsidRDefault="00ED017E" w:rsidP="00163032">
    <w:pPr>
      <w:spacing w:line="276" w:lineRule="auto"/>
      <w:rPr>
        <w:rFonts w:ascii="Verdana" w:hAnsi="Verdana"/>
        <w:color w:val="ED1C2A"/>
        <w:sz w:val="18"/>
        <w:szCs w:val="18"/>
      </w:rPr>
    </w:pPr>
    <w:r>
      <w:rPr>
        <w:rFonts w:ascii="Verdana" w:hAnsi="Verdana"/>
        <w:color w:val="41525C"/>
        <w:sz w:val="18"/>
      </w:rPr>
      <w:t xml:space="preserve">Le </w:t>
    </w:r>
    <w:r w:rsidR="00650FA3">
      <w:rPr>
        <w:rFonts w:ascii="Verdana" w:hAnsi="Verdana"/>
        <w:color w:val="41525C"/>
        <w:sz w:val="18"/>
      </w:rPr>
      <w:t>27</w:t>
    </w:r>
    <w:bookmarkStart w:id="0" w:name="_GoBack"/>
    <w:bookmarkEnd w:id="0"/>
    <w:r>
      <w:rPr>
        <w:rFonts w:ascii="Verdana" w:hAnsi="Verdana"/>
        <w:color w:val="41525C"/>
        <w:sz w:val="18"/>
      </w:rPr>
      <w:t xml:space="preserve"> janvier 2016</w:t>
    </w:r>
  </w:p>
  <w:p w14:paraId="537AD00C" w14:textId="77777777" w:rsidR="00A573A1" w:rsidRPr="003E31C0" w:rsidRDefault="00A573A1" w:rsidP="00163032">
    <w:pPr>
      <w:spacing w:line="276" w:lineRule="auto"/>
      <w:rPr>
        <w:rFonts w:ascii="Verdana" w:hAnsi="Verdana"/>
        <w:sz w:val="16"/>
        <w:szCs w:val="16"/>
      </w:rPr>
    </w:pPr>
  </w:p>
  <w:p w14:paraId="298C4483" w14:textId="77777777" w:rsidR="00A573A1" w:rsidRDefault="00A573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20BA" w14:textId="77777777" w:rsidR="00650FA3" w:rsidRDefault="00650F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0FA3"/>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15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5DA"/>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693"/>
    <w:rsid w:val="00D12E75"/>
    <w:rsid w:val="00D200A5"/>
    <w:rsid w:val="00D20EC5"/>
    <w:rsid w:val="00D22203"/>
    <w:rsid w:val="00D252AC"/>
    <w:rsid w:val="00D26D6B"/>
    <w:rsid w:val="00D31FA0"/>
    <w:rsid w:val="00D36AB0"/>
    <w:rsid w:val="00D376BF"/>
    <w:rsid w:val="00D42915"/>
    <w:rsid w:val="00D4675D"/>
    <w:rsid w:val="00D479D1"/>
    <w:rsid w:val="00D5209B"/>
    <w:rsid w:val="00D52112"/>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48AE"/>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3A68"/>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03D4F8"/>
  <w15:docId w15:val="{4F582C10-853D-4FAB-A1EE-13D80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43122442">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C03B-4990-6747-92A9-FF84C086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2015-08-27T15:06:00Z</cp:lastPrinted>
  <dcterms:created xsi:type="dcterms:W3CDTF">2016-01-20T22:39:00Z</dcterms:created>
  <dcterms:modified xsi:type="dcterms:W3CDTF">2016-01-27T20:55:00Z</dcterms:modified>
</cp:coreProperties>
</file>