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EFEB5" w14:textId="05839A81" w:rsidR="0092578F" w:rsidRDefault="00F65DE2" w:rsidP="00F22EA4">
      <w:pPr>
        <w:tabs>
          <w:tab w:val="left" w:pos="6096"/>
        </w:tabs>
        <w:jc w:val="center"/>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A65D68">
        <w:rPr>
          <w:rFonts w:ascii="Verdana" w:hAnsi="Verdana"/>
          <w:color w:val="ED1C2A"/>
          <w:sz w:val="30"/>
          <w:szCs w:val="30"/>
        </w:rPr>
        <w:t>NEWS RELEASE</w:t>
      </w:r>
    </w:p>
    <w:p w14:paraId="307E6176" w14:textId="671452D6" w:rsidR="0092578F" w:rsidRPr="00164A29" w:rsidRDefault="00EC43C9" w:rsidP="00EC43C9">
      <w:pPr>
        <w:jc w:val="center"/>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B87EAD">
        <w:rPr>
          <w:rFonts w:ascii="Verdana" w:hAnsi="Verdana"/>
          <w:color w:val="41525C"/>
          <w:sz w:val="18"/>
          <w:szCs w:val="18"/>
        </w:rPr>
        <w:t>April</w:t>
      </w:r>
      <w:r>
        <w:rPr>
          <w:rFonts w:ascii="Verdana" w:hAnsi="Verdana"/>
          <w:color w:val="41525C"/>
          <w:sz w:val="18"/>
          <w:szCs w:val="18"/>
        </w:rPr>
        <w:t xml:space="preserve"> </w:t>
      </w:r>
      <w:r w:rsidR="00AA3738">
        <w:rPr>
          <w:rFonts w:ascii="Verdana" w:hAnsi="Verdana"/>
          <w:color w:val="41525C"/>
          <w:sz w:val="18"/>
          <w:szCs w:val="18"/>
        </w:rPr>
        <w:t>11</w:t>
      </w:r>
      <w:r w:rsidR="0092578F" w:rsidRPr="00164A29">
        <w:rPr>
          <w:rFonts w:ascii="Verdana" w:hAnsi="Verdana"/>
          <w:color w:val="41525C"/>
          <w:sz w:val="18"/>
          <w:szCs w:val="18"/>
        </w:rPr>
        <w:t>, 201</w:t>
      </w:r>
      <w:r w:rsidR="00996CBD">
        <w:rPr>
          <w:rFonts w:ascii="Verdana" w:hAnsi="Verdana"/>
          <w:color w:val="41525C"/>
          <w:sz w:val="18"/>
          <w:szCs w:val="18"/>
        </w:rPr>
        <w:t>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288B2581" w14:textId="77777777" w:rsidR="00D97230" w:rsidRDefault="00D97230" w:rsidP="00D97230">
      <w:pPr>
        <w:tabs>
          <w:tab w:val="left" w:pos="6096"/>
        </w:tabs>
        <w:rPr>
          <w:rFonts w:ascii="Verdana" w:hAnsi="Verdana"/>
          <w:color w:val="ED1C2A"/>
          <w:sz w:val="30"/>
          <w:szCs w:val="30"/>
        </w:rPr>
      </w:pPr>
    </w:p>
    <w:p w14:paraId="40D4DFA1" w14:textId="77777777" w:rsidR="00F703C9" w:rsidRDefault="00F703C9" w:rsidP="00F703C9">
      <w:pPr>
        <w:rPr>
          <w:rFonts w:ascii="Georgia" w:hAnsi="Georgia"/>
          <w:b/>
          <w:bCs/>
          <w:sz w:val="28"/>
          <w:szCs w:val="28"/>
        </w:rPr>
      </w:pPr>
      <w:r>
        <w:rPr>
          <w:rFonts w:ascii="Georgia" w:hAnsi="Georgia"/>
          <w:b/>
          <w:bCs/>
          <w:sz w:val="28"/>
          <w:szCs w:val="28"/>
        </w:rPr>
        <w:t xml:space="preserve">Grove introduces new rough-terrain cranes at </w:t>
      </w:r>
      <w:proofErr w:type="spellStart"/>
      <w:r>
        <w:rPr>
          <w:rFonts w:ascii="Georgia" w:hAnsi="Georgia"/>
          <w:b/>
          <w:bCs/>
          <w:sz w:val="28"/>
          <w:szCs w:val="28"/>
        </w:rPr>
        <w:t>bauma</w:t>
      </w:r>
      <w:proofErr w:type="spellEnd"/>
      <w:r>
        <w:rPr>
          <w:rFonts w:ascii="Georgia" w:hAnsi="Georgia"/>
          <w:b/>
          <w:bCs/>
          <w:sz w:val="28"/>
          <w:szCs w:val="28"/>
        </w:rPr>
        <w:t xml:space="preserve"> 2016</w:t>
      </w:r>
    </w:p>
    <w:p w14:paraId="5EBF0F1C" w14:textId="77777777" w:rsidR="007B19F7" w:rsidRDefault="007B19F7" w:rsidP="007B19F7">
      <w:pPr>
        <w:rPr>
          <w:rFonts w:ascii="Georgia" w:hAnsi="Georgia"/>
          <w:b/>
          <w:sz w:val="28"/>
          <w:szCs w:val="28"/>
        </w:rPr>
      </w:pPr>
    </w:p>
    <w:p w14:paraId="0854C511" w14:textId="77777777" w:rsidR="00F703C9" w:rsidRDefault="00F703C9" w:rsidP="00F703C9">
      <w:pPr>
        <w:pStyle w:val="BodyText"/>
        <w:ind w:left="0"/>
      </w:pPr>
      <w:r>
        <w:t>Manitowoc is featuring two new Grove rough-terrain cranes at its booth fo</w:t>
      </w:r>
      <w:r>
        <w:softHyphen/>
      </w:r>
      <w:r>
        <w:softHyphen/>
        <w:t xml:space="preserve">r </w:t>
      </w:r>
      <w:proofErr w:type="spellStart"/>
      <w:r>
        <w:t>bauma</w:t>
      </w:r>
      <w:proofErr w:type="spellEnd"/>
      <w:r>
        <w:t xml:space="preserve"> 2016: The all-new GRT8100 and the GRT880, both of which feature class-leading capabilities and Manitowoc’s Crane Control System (CCS). </w:t>
      </w:r>
    </w:p>
    <w:p w14:paraId="3718E303" w14:textId="77777777" w:rsidR="00F703C9" w:rsidRDefault="00F703C9" w:rsidP="00F703C9">
      <w:pPr>
        <w:pStyle w:val="BodyText"/>
        <w:ind w:left="0"/>
      </w:pPr>
    </w:p>
    <w:p w14:paraId="50C9A8A7" w14:textId="77777777" w:rsidR="00F703C9" w:rsidRDefault="00F703C9" w:rsidP="00F703C9">
      <w:pPr>
        <w:pStyle w:val="BodyText"/>
        <w:ind w:left="0"/>
      </w:pPr>
      <w:r>
        <w:t xml:space="preserve">Debuting Grove’s new naming system (GRT= Grove rough-terrain), the GRT8100 and GRT880 are generational updates to the popular RT890E and RT880E models, respectively. These two new cranes possess a number of features that will enable them to lead their capacity classes and deliver a better return on investment to owners. </w:t>
      </w:r>
    </w:p>
    <w:p w14:paraId="63580235" w14:textId="77777777" w:rsidR="00F703C9" w:rsidRDefault="00F703C9" w:rsidP="00F703C9">
      <w:pPr>
        <w:pStyle w:val="BodyText"/>
        <w:ind w:left="0"/>
      </w:pPr>
    </w:p>
    <w:p w14:paraId="4259888A" w14:textId="77777777" w:rsidR="00F703C9" w:rsidRDefault="00F703C9" w:rsidP="00F703C9">
      <w:pPr>
        <w:pStyle w:val="BodyText"/>
        <w:ind w:left="0"/>
      </w:pPr>
      <w:r>
        <w:t>“These new Grove models reflect everything we’ve learned in the last decade of crane design,” said Mike Herbert, global product director of rough-terrain cranes at Manitowoc. “For example, customers will find the new cranes even more reliable thanks in part to the advances brought by our Product Verification Center (PVC). Each component has undergone extensive component validation and prototype testing and with that knowledge, we’ve been able to improve these cranes from the ground up.”</w:t>
      </w:r>
    </w:p>
    <w:p w14:paraId="7FD7F570" w14:textId="77777777" w:rsidR="00F703C9" w:rsidRDefault="00F703C9" w:rsidP="00F703C9">
      <w:pPr>
        <w:pStyle w:val="BodyText"/>
        <w:ind w:left="0"/>
      </w:pPr>
    </w:p>
    <w:p w14:paraId="1AEFCBB1" w14:textId="77777777" w:rsidR="00F703C9" w:rsidRDefault="00F703C9" w:rsidP="00F703C9">
      <w:pPr>
        <w:pStyle w:val="BodyText"/>
        <w:ind w:left="0"/>
      </w:pPr>
      <w:r w:rsidRPr="00663486">
        <w:t>The 9</w:t>
      </w:r>
      <w:r>
        <w:t>0</w:t>
      </w:r>
      <w:r w:rsidRPr="00663486">
        <w:t xml:space="preserve"> t </w:t>
      </w:r>
      <w:r>
        <w:t>Grove GRT8100 has exceptional reach with its</w:t>
      </w:r>
      <w:r w:rsidRPr="009A1600">
        <w:t xml:space="preserve"> 47 m</w:t>
      </w:r>
      <w:r>
        <w:t xml:space="preserve"> boom that has </w:t>
      </w:r>
      <w:r w:rsidRPr="009A1600">
        <w:t>a maximum tip height of 49 m. With a full compl</w:t>
      </w:r>
      <w:r>
        <w:t>e</w:t>
      </w:r>
      <w:r w:rsidRPr="009A1600">
        <w:t xml:space="preserve">ment of boom extension and insert options, the crane </w:t>
      </w:r>
      <w:r>
        <w:t>also has an outstanding</w:t>
      </w:r>
      <w:r w:rsidRPr="009A1600">
        <w:t xml:space="preserve"> reach </w:t>
      </w:r>
      <w:r>
        <w:t>of</w:t>
      </w:r>
      <w:r w:rsidRPr="009A1600">
        <w:t xml:space="preserve"> </w:t>
      </w:r>
      <w:r>
        <w:t>77 m</w:t>
      </w:r>
      <w:r w:rsidRPr="009A1600">
        <w:t>.</w:t>
      </w:r>
      <w:r>
        <w:t xml:space="preserve"> The boom is lighter and longer than its predecessor, but has the ability to lift heavier loads throughout the load chart. Capability such as this will allow customers to get unparalleled usage out of a 90 t rough-terrain crane. </w:t>
      </w:r>
    </w:p>
    <w:p w14:paraId="7C65FE78" w14:textId="77777777" w:rsidR="00F703C9" w:rsidRDefault="00F703C9" w:rsidP="00F703C9">
      <w:pPr>
        <w:pStyle w:val="BodyText"/>
        <w:ind w:left="0"/>
      </w:pPr>
    </w:p>
    <w:p w14:paraId="6FE03222" w14:textId="77777777" w:rsidR="00F703C9" w:rsidRDefault="00F703C9" w:rsidP="00F703C9">
      <w:pPr>
        <w:pStyle w:val="BodyText"/>
        <w:ind w:left="0"/>
      </w:pPr>
      <w:r>
        <w:t xml:space="preserve">The </w:t>
      </w:r>
      <w:r w:rsidRPr="000C29C9">
        <w:t>80 t GRT880</w:t>
      </w:r>
      <w:r>
        <w:t xml:space="preserve"> features a shorter 41 m boom that is also lighter than the GRT8100 boom. Customers will find this boom especially useful for the mining sector, equipment maintenance, and infrastructure projects.</w:t>
      </w:r>
    </w:p>
    <w:p w14:paraId="06F03BD0" w14:textId="77777777" w:rsidR="00F703C9" w:rsidRDefault="00F703C9" w:rsidP="00F703C9">
      <w:pPr>
        <w:pStyle w:val="BodyText"/>
        <w:ind w:left="0"/>
      </w:pPr>
    </w:p>
    <w:p w14:paraId="49335EF9" w14:textId="77777777" w:rsidR="00F703C9" w:rsidRDefault="00F703C9" w:rsidP="00F703C9">
      <w:pPr>
        <w:pStyle w:val="BodyText"/>
        <w:ind w:left="0"/>
      </w:pPr>
      <w:r w:rsidRPr="007B2083">
        <w:t xml:space="preserve">With </w:t>
      </w:r>
      <w:r>
        <w:t xml:space="preserve">increased </w:t>
      </w:r>
      <w:r w:rsidRPr="007B2083">
        <w:t xml:space="preserve">capacity at </w:t>
      </w:r>
      <w:proofErr w:type="spellStart"/>
      <w:r w:rsidRPr="007B2083">
        <w:t>mid range</w:t>
      </w:r>
      <w:proofErr w:type="spellEnd"/>
      <w:r w:rsidRPr="007B2083">
        <w:t xml:space="preserve"> and max</w:t>
      </w:r>
      <w:r>
        <w:t>imum</w:t>
      </w:r>
      <w:r w:rsidRPr="007B2083">
        <w:t xml:space="preserve"> radii</w:t>
      </w:r>
      <w:r>
        <w:t xml:space="preserve">, the GRT8100 and GRT880 are more versatile than competitors’ cranes – they boast up to </w:t>
      </w:r>
      <w:r w:rsidRPr="009A1600">
        <w:t>16% greater</w:t>
      </w:r>
      <w:r>
        <w:t xml:space="preserve"> capacity at full radius, 13% greater capacity in mid-range applications and 27% greater capacity at close radii. W</w:t>
      </w:r>
      <w:r w:rsidRPr="00862765">
        <w:t xml:space="preserve">ith </w:t>
      </w:r>
      <w:proofErr w:type="spellStart"/>
      <w:r w:rsidRPr="00862765">
        <w:t>offsettable</w:t>
      </w:r>
      <w:proofErr w:type="spellEnd"/>
      <w:r w:rsidRPr="00862765">
        <w:t xml:space="preserve"> boom and fly extensions</w:t>
      </w:r>
      <w:r>
        <w:t>, the cranes</w:t>
      </w:r>
      <w:r w:rsidRPr="00862765">
        <w:t xml:space="preserve"> </w:t>
      </w:r>
      <w:r>
        <w:t xml:space="preserve">enable customers to lift heavier loads to greater heights, helping companies compete for - and win - bids for projects they may not have been able to previously. </w:t>
      </w:r>
    </w:p>
    <w:p w14:paraId="52CF4A14" w14:textId="77777777" w:rsidR="00F703C9" w:rsidRDefault="00F703C9" w:rsidP="00F703C9">
      <w:pPr>
        <w:pStyle w:val="BodyText"/>
        <w:ind w:left="0"/>
      </w:pPr>
    </w:p>
    <w:p w14:paraId="7559B003" w14:textId="77777777" w:rsidR="00F703C9" w:rsidRDefault="00F703C9" w:rsidP="00F703C9">
      <w:pPr>
        <w:pStyle w:val="BodyText"/>
        <w:ind w:left="0"/>
      </w:pPr>
      <w:r>
        <w:t xml:space="preserve">The GRT8100 is the only crane in its class to offer a hydraulic luffing jib that can be configured at lengths between 10 m to 17 m. Other optional boom extensions for the cranes include a 10 m – 17 m manual </w:t>
      </w:r>
      <w:proofErr w:type="spellStart"/>
      <w:r>
        <w:t>offsettable</w:t>
      </w:r>
      <w:proofErr w:type="spellEnd"/>
      <w:r>
        <w:t xml:space="preserve"> bi-fold boom extension with fixed offsets at 0, 20 and 40 degrees as well as a heavy-duty 3 m jib that is </w:t>
      </w:r>
      <w:proofErr w:type="spellStart"/>
      <w:r>
        <w:t>offsettable</w:t>
      </w:r>
      <w:proofErr w:type="spellEnd"/>
      <w:r>
        <w:t xml:space="preserve"> to 40 degrees.</w:t>
      </w:r>
    </w:p>
    <w:p w14:paraId="0CC25FA0" w14:textId="77777777" w:rsidR="00F703C9" w:rsidRDefault="00F703C9" w:rsidP="00F703C9">
      <w:pPr>
        <w:pStyle w:val="BodyText"/>
        <w:ind w:left="0"/>
      </w:pPr>
    </w:p>
    <w:p w14:paraId="17DB2C42" w14:textId="77777777" w:rsidR="00F703C9" w:rsidRDefault="00F703C9" w:rsidP="00F703C9">
      <w:pPr>
        <w:pStyle w:val="BodyText"/>
        <w:ind w:left="0"/>
      </w:pPr>
      <w:r w:rsidRPr="0035675C">
        <w:t xml:space="preserve">A new boom extension stowage system for both </w:t>
      </w:r>
      <w:r>
        <w:t>cranes’</w:t>
      </w:r>
      <w:r w:rsidRPr="0035675C">
        <w:t xml:space="preserve"> hydraulic and </w:t>
      </w:r>
      <w:proofErr w:type="spellStart"/>
      <w:r w:rsidRPr="0035675C">
        <w:t>offsettable</w:t>
      </w:r>
      <w:proofErr w:type="spellEnd"/>
      <w:r w:rsidRPr="0035675C">
        <w:t xml:space="preserve"> jib options decreases erection and stowage time by 60% when compared with previous generation Grove cranes. This enables operators to set up and disassemble the crane</w:t>
      </w:r>
      <w:r>
        <w:t>s</w:t>
      </w:r>
      <w:r w:rsidRPr="0035675C">
        <w:t xml:space="preserve"> in less time, saving money and increasing return on investment.</w:t>
      </w:r>
      <w:r>
        <w:t xml:space="preserve"> </w:t>
      </w:r>
    </w:p>
    <w:p w14:paraId="4E3D9D1E" w14:textId="77777777" w:rsidR="00F703C9" w:rsidRDefault="00F703C9" w:rsidP="00F703C9">
      <w:pPr>
        <w:pStyle w:val="BodyText"/>
        <w:ind w:left="0"/>
      </w:pPr>
    </w:p>
    <w:p w14:paraId="2CC16A22" w14:textId="77777777" w:rsidR="00F703C9" w:rsidRDefault="00F703C9" w:rsidP="00F703C9">
      <w:pPr>
        <w:pStyle w:val="BodyText"/>
        <w:ind w:left="0"/>
      </w:pPr>
      <w:r>
        <w:t>The GRT8100 and GRT880 also have best-in-class line pulls at 7,883 kg on both the main and the auxiliary hoists. The stronger pull results in fewer parts of line being needed to lift loads, which will lead to increased productivity on the job site and faster customer payback.</w:t>
      </w:r>
    </w:p>
    <w:p w14:paraId="131152DA" w14:textId="77777777" w:rsidR="00F703C9" w:rsidRDefault="00F703C9" w:rsidP="00F703C9">
      <w:pPr>
        <w:pStyle w:val="BodyText"/>
        <w:ind w:left="0"/>
      </w:pPr>
    </w:p>
    <w:p w14:paraId="1AA42706" w14:textId="77777777" w:rsidR="00F703C9" w:rsidRDefault="00F703C9" w:rsidP="00F703C9">
      <w:pPr>
        <w:pStyle w:val="BodyText"/>
        <w:ind w:left="0"/>
      </w:pPr>
      <w:r>
        <w:t>“The GRT8100 and GRT880 will surely increase ROI for customers with the versatility of their long booms and strong load charts,” Herbert said. “Also their hydraulic and crane control systems are designed with efficiency and improved fuel economy in mind. Combined with the heightened reliability improvements brought by our PVC, the new cranes will enable customers to be more efficient and decrease maintenance and operating costs. Rental companies will surely see this benefit, too, as they will generate better rental rates.”</w:t>
      </w:r>
    </w:p>
    <w:p w14:paraId="2679E301" w14:textId="77777777" w:rsidR="00F703C9" w:rsidRDefault="00F703C9" w:rsidP="00F703C9">
      <w:pPr>
        <w:pStyle w:val="BodyText"/>
        <w:ind w:left="0"/>
      </w:pPr>
    </w:p>
    <w:p w14:paraId="2D065E54" w14:textId="77777777" w:rsidR="00F703C9" w:rsidRDefault="00F703C9" w:rsidP="00F703C9">
      <w:pPr>
        <w:pStyle w:val="BodyText"/>
        <w:ind w:left="0"/>
      </w:pPr>
      <w:r>
        <w:rPr>
          <w:b/>
        </w:rPr>
        <w:t>Crane Control System (CCS)</w:t>
      </w:r>
    </w:p>
    <w:p w14:paraId="685D827F" w14:textId="77777777" w:rsidR="00F703C9" w:rsidRDefault="00F703C9" w:rsidP="00F703C9">
      <w:pPr>
        <w:pStyle w:val="BodyText"/>
        <w:ind w:left="0"/>
      </w:pPr>
      <w:r>
        <w:t>Both cranes feature Manitowoc’s Crane Control System (CCS). The standardized CCS is a user-friendly interface that Manitowoc is introducing on all new rough-terrain crane models, as well as crawler cranes, all-terrain cranes, boom trucks and tower cranes. An updated full-vision cab tilts to 20 degrees and also features a new ergonomic control arrangement including a tilting steering column, electronic joysticks, and a jog dial for simple CCS menu navigation.</w:t>
      </w:r>
    </w:p>
    <w:p w14:paraId="66643500" w14:textId="77777777" w:rsidR="00F703C9" w:rsidRDefault="00F703C9" w:rsidP="00F703C9">
      <w:pPr>
        <w:pStyle w:val="BodyText"/>
        <w:ind w:left="0"/>
      </w:pPr>
    </w:p>
    <w:p w14:paraId="2D522C4C" w14:textId="77777777" w:rsidR="00F703C9" w:rsidRDefault="00F703C9" w:rsidP="00F703C9">
      <w:pPr>
        <w:pStyle w:val="BodyText"/>
        <w:ind w:left="0"/>
      </w:pPr>
      <w:r w:rsidRPr="0035675C">
        <w:t xml:space="preserve">The intuitive nature of CCS enables operators to more quickly set up their cranes and get to work.   Additionally, CCS offers </w:t>
      </w:r>
      <w:r>
        <w:t>the</w:t>
      </w:r>
      <w:r w:rsidRPr="0035675C">
        <w:t xml:space="preserve"> new ECO mode to improve fuel </w:t>
      </w:r>
      <w:r>
        <w:t xml:space="preserve">efficiency </w:t>
      </w:r>
      <w:r w:rsidRPr="0035675C">
        <w:t xml:space="preserve">and decrease wear and tear on the powertrain and hydraulic systems.  </w:t>
      </w:r>
    </w:p>
    <w:p w14:paraId="53D97CA6" w14:textId="77777777" w:rsidR="00E941A6" w:rsidRPr="00F87622" w:rsidRDefault="00E941A6" w:rsidP="00E941A6">
      <w:pPr>
        <w:rPr>
          <w:rFonts w:ascii="Georgia" w:hAnsi="Georgia" w:cs="Georgia"/>
          <w:sz w:val="21"/>
          <w:szCs w:val="21"/>
          <w:lang w:val="en-GB"/>
        </w:rPr>
      </w:pPr>
      <w:bookmarkStart w:id="0" w:name="_GoBack"/>
      <w:bookmarkEnd w:id="0"/>
    </w:p>
    <w:p w14:paraId="075B9F3A" w14:textId="77777777" w:rsidR="00D97230" w:rsidRDefault="00D97230" w:rsidP="00D97230">
      <w:pPr>
        <w:pStyle w:val="BodyText"/>
        <w:ind w:left="0"/>
      </w:pPr>
    </w:p>
    <w:p w14:paraId="2F03FF87" w14:textId="77777777" w:rsidR="00A678F4" w:rsidRPr="009A368C" w:rsidRDefault="00A678F4" w:rsidP="007F560A">
      <w:pPr>
        <w:tabs>
          <w:tab w:val="left" w:pos="1055"/>
          <w:tab w:val="left" w:pos="4111"/>
          <w:tab w:val="left" w:pos="5812"/>
          <w:tab w:val="left" w:pos="7371"/>
        </w:tabs>
        <w:jc w:val="center"/>
        <w:rPr>
          <w:rFonts w:ascii="Georgia" w:hAnsi="Georgia" w:cs="Georgia"/>
          <w:sz w:val="21"/>
          <w:szCs w:val="21"/>
          <w:lang w:val="fr-FR"/>
        </w:rPr>
      </w:pPr>
      <w:r w:rsidRPr="009A368C">
        <w:rPr>
          <w:rFonts w:ascii="Georgia" w:hAnsi="Georgia" w:cs="Georgia"/>
          <w:sz w:val="21"/>
          <w:szCs w:val="21"/>
          <w:lang w:val="fr-FR"/>
        </w:rPr>
        <w:t>-END-</w:t>
      </w:r>
    </w:p>
    <w:p w14:paraId="476EAACF" w14:textId="77777777" w:rsidR="00BC06BB" w:rsidRDefault="00BC06BB" w:rsidP="00FD3526">
      <w:pPr>
        <w:tabs>
          <w:tab w:val="left" w:pos="1055"/>
          <w:tab w:val="left" w:pos="4111"/>
          <w:tab w:val="left" w:pos="5812"/>
          <w:tab w:val="left" w:pos="7371"/>
        </w:tabs>
        <w:jc w:val="center"/>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1A23995D" w14:textId="77777777" w:rsidR="00E26E55" w:rsidRPr="00727B58" w:rsidRDefault="00E26E55" w:rsidP="00E26E55">
      <w:pPr>
        <w:rPr>
          <w:rFonts w:ascii="Georgia" w:hAnsi="Georgia"/>
          <w:b/>
          <w:color w:val="41525C"/>
          <w:sz w:val="19"/>
          <w:szCs w:val="19"/>
          <w:lang w:val="fr-FR"/>
        </w:rPr>
      </w:pPr>
      <w:r w:rsidRPr="00727B58">
        <w:rPr>
          <w:rFonts w:ascii="Georgia" w:hAnsi="Georgia"/>
          <w:color w:val="ED1C2A"/>
          <w:sz w:val="19"/>
          <w:szCs w:val="19"/>
          <w:lang w:val="fr-FR"/>
        </w:rPr>
        <w:t xml:space="preserve">CONTACT </w:t>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p>
    <w:p w14:paraId="62BF47D8"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b/>
          <w:color w:val="41525C"/>
          <w:sz w:val="19"/>
          <w:szCs w:val="19"/>
          <w:lang w:val="fr-FR"/>
        </w:rPr>
        <w:t>Cristelle Lacourt</w:t>
      </w:r>
      <w:r w:rsidRPr="00727B58">
        <w:rPr>
          <w:rFonts w:ascii="Georgia" w:hAnsi="Georgia"/>
          <w:sz w:val="19"/>
          <w:szCs w:val="19"/>
          <w:lang w:val="fr-FR"/>
        </w:rPr>
        <w:tab/>
      </w:r>
      <w:r w:rsidR="00932D4D">
        <w:rPr>
          <w:rFonts w:ascii="Georgia" w:hAnsi="Georgia"/>
          <w:b/>
          <w:color w:val="41525C"/>
          <w:sz w:val="19"/>
          <w:szCs w:val="19"/>
          <w:lang w:val="fr-FR"/>
        </w:rPr>
        <w:t>Charlie Ebers</w:t>
      </w:r>
      <w:r w:rsidRPr="00727B58">
        <w:rPr>
          <w:rFonts w:ascii="Georgia" w:hAnsi="Georgia"/>
          <w:b/>
          <w:color w:val="41525C"/>
          <w:sz w:val="19"/>
          <w:szCs w:val="19"/>
          <w:lang w:val="fr-FR"/>
        </w:rPr>
        <w:t xml:space="preserve"> </w:t>
      </w:r>
    </w:p>
    <w:p w14:paraId="5F34191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Manitowoc</w:t>
      </w:r>
      <w:r w:rsidRPr="00727B58">
        <w:rPr>
          <w:rFonts w:ascii="Georgia" w:hAnsi="Georgia"/>
          <w:sz w:val="19"/>
          <w:szCs w:val="19"/>
          <w:lang w:val="fr-FR"/>
        </w:rPr>
        <w:tab/>
      </w:r>
      <w:r w:rsidRPr="00727B58">
        <w:rPr>
          <w:rFonts w:ascii="Georgia" w:hAnsi="Georgia"/>
          <w:color w:val="41525C"/>
          <w:sz w:val="19"/>
          <w:szCs w:val="19"/>
          <w:lang w:val="fr-FR"/>
        </w:rPr>
        <w:t>SE10</w:t>
      </w:r>
    </w:p>
    <w:p w14:paraId="6CB439B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T +3</w:t>
      </w:r>
      <w:r w:rsidR="00932D4D">
        <w:rPr>
          <w:rFonts w:ascii="Georgia" w:hAnsi="Georgia"/>
          <w:color w:val="41525C"/>
          <w:sz w:val="19"/>
          <w:szCs w:val="19"/>
          <w:lang w:val="fr-FR"/>
        </w:rPr>
        <w:t>3 472 182 018</w:t>
      </w:r>
      <w:r w:rsidR="00932D4D">
        <w:rPr>
          <w:rFonts w:ascii="Georgia" w:hAnsi="Georgia"/>
          <w:color w:val="41525C"/>
          <w:sz w:val="19"/>
          <w:szCs w:val="19"/>
          <w:lang w:val="fr-FR"/>
        </w:rPr>
        <w:tab/>
        <w:t>T +44 207 923 5864</w:t>
      </w:r>
    </w:p>
    <w:p w14:paraId="5917D715" w14:textId="77777777" w:rsidR="00E26E55" w:rsidRPr="00727B58" w:rsidRDefault="00C80C23" w:rsidP="00E26E55">
      <w:pPr>
        <w:tabs>
          <w:tab w:val="left" w:pos="1055"/>
          <w:tab w:val="left" w:pos="3969"/>
          <w:tab w:val="left" w:pos="6379"/>
          <w:tab w:val="left" w:pos="7371"/>
        </w:tabs>
        <w:rPr>
          <w:rFonts w:ascii="Georgia" w:hAnsi="Georgia"/>
          <w:b/>
          <w:color w:val="41525C"/>
          <w:sz w:val="19"/>
          <w:szCs w:val="19"/>
          <w:lang w:val="fr-FR"/>
        </w:rPr>
      </w:pPr>
      <w:hyperlink r:id="rId10" w:history="1">
        <w:r w:rsidR="008F5FB0" w:rsidRPr="00B91D1B">
          <w:rPr>
            <w:rStyle w:val="Hyperlink"/>
            <w:rFonts w:ascii="Georgia" w:hAnsi="Georgia"/>
            <w:sz w:val="19"/>
            <w:szCs w:val="19"/>
            <w:lang w:val="fr-FR"/>
          </w:rPr>
          <w:t>cristelle.lacourt@manitowoc.com</w:t>
        </w:r>
      </w:hyperlink>
      <w:r w:rsidR="00E26E55" w:rsidRPr="00727B58">
        <w:rPr>
          <w:rFonts w:ascii="Georgia" w:hAnsi="Georgia"/>
          <w:color w:val="41525C"/>
          <w:sz w:val="19"/>
          <w:szCs w:val="19"/>
          <w:lang w:val="fr-FR"/>
        </w:rPr>
        <w:tab/>
      </w:r>
      <w:hyperlink r:id="rId11" w:history="1">
        <w:r w:rsidR="00932D4D" w:rsidRPr="00942DE0">
          <w:rPr>
            <w:rStyle w:val="Hyperlink"/>
            <w:rFonts w:ascii="Georgia" w:hAnsi="Georgia"/>
            <w:sz w:val="19"/>
            <w:szCs w:val="19"/>
            <w:lang w:val="fr-FR"/>
          </w:rPr>
          <w:t>charlie.ebers@se10.com</w:t>
        </w:r>
      </w:hyperlink>
    </w:p>
    <w:p w14:paraId="02A32F27" w14:textId="77777777" w:rsidR="00053C35" w:rsidRPr="00727B58" w:rsidRDefault="00053C35" w:rsidP="00FD3526">
      <w:pPr>
        <w:rPr>
          <w:rFonts w:ascii="Georgia" w:hAnsi="Georgia" w:cs="Georgia"/>
          <w:sz w:val="19"/>
          <w:szCs w:val="19"/>
          <w:lang w:val="fr-FR"/>
        </w:rPr>
      </w:pPr>
    </w:p>
    <w:p w14:paraId="49549B92" w14:textId="77777777" w:rsidR="00D4675D" w:rsidRPr="00727B58" w:rsidRDefault="00D4675D" w:rsidP="00FD3526">
      <w:pPr>
        <w:rPr>
          <w:rFonts w:ascii="Georgia" w:hAnsi="Georgia" w:cs="Arial"/>
          <w:sz w:val="19"/>
          <w:szCs w:val="19"/>
          <w:lang w:val="fr-FR"/>
        </w:rPr>
      </w:pPr>
    </w:p>
    <w:p w14:paraId="4DE116EB" w14:textId="77777777" w:rsidR="009D2661" w:rsidRPr="00C8208E" w:rsidRDefault="00B71480" w:rsidP="009D2661">
      <w:pPr>
        <w:rPr>
          <w:rFonts w:ascii="Georgia" w:hAnsi="Georgia"/>
          <w:sz w:val="19"/>
          <w:szCs w:val="19"/>
        </w:rPr>
      </w:pPr>
      <w:r w:rsidRPr="00A678F4">
        <w:rPr>
          <w:rFonts w:ascii="Verdana" w:hAnsi="Verdana"/>
          <w:color w:val="ED1C2A"/>
          <w:sz w:val="18"/>
          <w:szCs w:val="18"/>
        </w:rPr>
        <w:t>ABOUT THE MANITOWOC COMPANY, INC.</w:t>
      </w:r>
      <w:r w:rsidRPr="00A678F4">
        <w:rPr>
          <w:rFonts w:ascii="Verdana" w:hAnsi="Verdana"/>
          <w:sz w:val="18"/>
          <w:szCs w:val="18"/>
        </w:rPr>
        <w:t xml:space="preserve"> </w:t>
      </w:r>
      <w:r w:rsidRPr="00A678F4">
        <w:rPr>
          <w:rFonts w:ascii="Verdana" w:hAnsi="Verdana"/>
          <w:sz w:val="18"/>
          <w:szCs w:val="18"/>
        </w:rPr>
        <w:br/>
      </w:r>
      <w:r w:rsidR="009D2661" w:rsidRPr="00C450B9">
        <w:rPr>
          <w:rFonts w:ascii="Georgia" w:hAnsi="Georgia"/>
          <w:color w:val="41525C"/>
          <w:sz w:val="19"/>
          <w:szCs w:val="19"/>
        </w:rPr>
        <w:t>Founded in 1902, The Manitowoc Company, Inc. is a leading global manufacturer of cranes and lift solutions with 49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4F390EE9" w14:textId="77777777" w:rsidR="00B71480" w:rsidRPr="00C8208E" w:rsidRDefault="00B71480" w:rsidP="00B71480">
      <w:pPr>
        <w:rPr>
          <w:rFonts w:ascii="Georgia" w:hAnsi="Georgia"/>
          <w:sz w:val="19"/>
          <w:szCs w:val="19"/>
        </w:rPr>
      </w:pPr>
    </w:p>
    <w:p w14:paraId="5AFDDCCE" w14:textId="77777777" w:rsidR="00A678F4" w:rsidRPr="00727B58" w:rsidRDefault="00A678F4" w:rsidP="00FD3526">
      <w:pPr>
        <w:rPr>
          <w:rFonts w:ascii="Georgia" w:hAnsi="Georgia"/>
          <w:color w:val="41525C"/>
          <w:sz w:val="19"/>
          <w:szCs w:val="19"/>
        </w:rPr>
      </w:pPr>
    </w:p>
    <w:p w14:paraId="580CB4B5" w14:textId="77777777" w:rsidR="00A678F4" w:rsidRPr="00727B58" w:rsidRDefault="00A678F4" w:rsidP="00FD3526">
      <w:pPr>
        <w:rPr>
          <w:rFonts w:ascii="Georgia" w:hAnsi="Georgia"/>
          <w:sz w:val="19"/>
          <w:szCs w:val="19"/>
        </w:rPr>
      </w:pPr>
      <w:r w:rsidRPr="00727B58">
        <w:rPr>
          <w:rFonts w:ascii="Georgia" w:hAnsi="Georgia"/>
          <w:color w:val="ED1C2A"/>
          <w:sz w:val="19"/>
          <w:szCs w:val="19"/>
        </w:rPr>
        <w:t>MANITOWOC CRANES</w:t>
      </w:r>
    </w:p>
    <w:p w14:paraId="7A7D76D7" w14:textId="77777777" w:rsidR="00A678F4" w:rsidRPr="00727B58" w:rsidRDefault="00A678F4" w:rsidP="00FD3526">
      <w:pPr>
        <w:rPr>
          <w:rFonts w:ascii="Georgia" w:hAnsi="Georgia"/>
          <w:sz w:val="19"/>
          <w:szCs w:val="19"/>
        </w:rPr>
      </w:pPr>
      <w:r w:rsidRPr="00727B58">
        <w:rPr>
          <w:rFonts w:ascii="Georgia" w:hAnsi="Georgia"/>
          <w:color w:val="41525C"/>
          <w:sz w:val="19"/>
          <w:szCs w:val="19"/>
        </w:rPr>
        <w:t>2401 South 30</w:t>
      </w:r>
      <w:r w:rsidRPr="00727B58">
        <w:rPr>
          <w:rFonts w:ascii="Georgia" w:hAnsi="Georgia"/>
          <w:color w:val="41525C"/>
          <w:sz w:val="19"/>
          <w:szCs w:val="19"/>
          <w:vertAlign w:val="superscript"/>
        </w:rPr>
        <w:t>th</w:t>
      </w:r>
      <w:r w:rsidRPr="00727B58">
        <w:rPr>
          <w:rFonts w:ascii="Georgia" w:hAnsi="Georgia"/>
          <w:color w:val="41525C"/>
          <w:sz w:val="19"/>
          <w:szCs w:val="19"/>
        </w:rPr>
        <w:t xml:space="preserve"> Street - PO Box 70</w:t>
      </w:r>
      <w:r w:rsidRPr="00727B58">
        <w:rPr>
          <w:rFonts w:ascii="Georgia" w:hAnsi="Georgia"/>
          <w:sz w:val="19"/>
          <w:szCs w:val="19"/>
        </w:rPr>
        <w:t xml:space="preserve"> - </w:t>
      </w:r>
      <w:r w:rsidRPr="00727B58">
        <w:rPr>
          <w:rFonts w:ascii="Georgia" w:hAnsi="Georgia"/>
          <w:color w:val="41525C"/>
          <w:sz w:val="19"/>
          <w:szCs w:val="19"/>
        </w:rPr>
        <w:t>Manitowoc, WI 54221-0070</w:t>
      </w: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C80C23" w:rsidP="00FD3526">
      <w:pPr>
        <w:rPr>
          <w:rStyle w:val="Hyperlink"/>
          <w:rFonts w:ascii="Georgia" w:hAnsi="Georgia"/>
          <w:b/>
          <w:color w:val="41525C"/>
          <w:sz w:val="19"/>
          <w:szCs w:val="19"/>
        </w:rPr>
      </w:pPr>
      <w:hyperlink r:id="rId12"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FF6EA4" w14:textId="77777777" w:rsidR="00C80C23" w:rsidRDefault="00C80C23">
      <w:r>
        <w:separator/>
      </w:r>
    </w:p>
  </w:endnote>
  <w:endnote w:type="continuationSeparator" w:id="0">
    <w:p w14:paraId="12AFF3B0" w14:textId="77777777" w:rsidR="00C80C23" w:rsidRDefault="00C80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75B1A" w14:textId="77777777" w:rsidR="00C80C23" w:rsidRDefault="00C80C23">
      <w:r>
        <w:separator/>
      </w:r>
    </w:p>
  </w:footnote>
  <w:footnote w:type="continuationSeparator" w:id="0">
    <w:p w14:paraId="27EA2A4C" w14:textId="77777777" w:rsidR="00C80C23" w:rsidRDefault="00C80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C9BC3" w14:textId="77777777" w:rsidR="00E941A6" w:rsidRPr="00164A29" w:rsidRDefault="00E941A6" w:rsidP="00E941A6">
    <w:pPr>
      <w:tabs>
        <w:tab w:val="left" w:pos="6096"/>
      </w:tabs>
      <w:spacing w:line="276" w:lineRule="auto"/>
      <w:jc w:val="right"/>
      <w:rPr>
        <w:rFonts w:ascii="Verdana" w:hAnsi="Verdana"/>
        <w:b/>
        <w:color w:val="41525C"/>
        <w:sz w:val="16"/>
        <w:szCs w:val="16"/>
      </w:rPr>
    </w:pPr>
  </w:p>
  <w:p w14:paraId="6714EEAF" w14:textId="77777777" w:rsidR="00F703C9" w:rsidRPr="00164A29" w:rsidRDefault="00F703C9" w:rsidP="00F703C9">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 xml:space="preserve">New Grove RTs at </w:t>
    </w:r>
    <w:proofErr w:type="spellStart"/>
    <w:r>
      <w:rPr>
        <w:rFonts w:ascii="Verdana" w:hAnsi="Verdana"/>
        <w:b/>
        <w:color w:val="41525C"/>
        <w:sz w:val="18"/>
        <w:szCs w:val="18"/>
      </w:rPr>
      <w:t>bauma</w:t>
    </w:r>
    <w:proofErr w:type="spellEnd"/>
    <w:r>
      <w:rPr>
        <w:rFonts w:ascii="Verdana" w:hAnsi="Verdana"/>
        <w:b/>
        <w:color w:val="41525C"/>
        <w:sz w:val="18"/>
        <w:szCs w:val="18"/>
      </w:rPr>
      <w:t xml:space="preserve"> 2016</w:t>
    </w:r>
  </w:p>
  <w:p w14:paraId="18AB69C0" w14:textId="6F3A97CF" w:rsidR="005C42E5" w:rsidRPr="00164A29" w:rsidRDefault="00B87EAD" w:rsidP="00163032">
    <w:pPr>
      <w:spacing w:line="276" w:lineRule="auto"/>
      <w:rPr>
        <w:rFonts w:ascii="Verdana" w:hAnsi="Verdana"/>
        <w:color w:val="ED1C2A"/>
        <w:sz w:val="18"/>
        <w:szCs w:val="18"/>
      </w:rPr>
    </w:pPr>
    <w:r>
      <w:rPr>
        <w:rFonts w:ascii="Verdana" w:hAnsi="Verdana"/>
        <w:color w:val="41525C"/>
        <w:sz w:val="18"/>
        <w:szCs w:val="18"/>
      </w:rPr>
      <w:t xml:space="preserve">April </w:t>
    </w:r>
    <w:r w:rsidR="00D97230">
      <w:rPr>
        <w:rFonts w:ascii="Verdana" w:hAnsi="Verdana"/>
        <w:color w:val="41525C"/>
        <w:sz w:val="18"/>
        <w:szCs w:val="18"/>
      </w:rPr>
      <w:t>11</w:t>
    </w:r>
    <w:r w:rsidR="005C42E5" w:rsidRPr="00164A29">
      <w:rPr>
        <w:rFonts w:ascii="Verdana" w:hAnsi="Verdana"/>
        <w:color w:val="41525C"/>
        <w:sz w:val="18"/>
        <w:szCs w:val="18"/>
      </w:rPr>
      <w:t>, 201</w:t>
    </w:r>
    <w:r w:rsidR="00A6572F">
      <w:rPr>
        <w:rFonts w:ascii="Verdana" w:hAnsi="Verdana"/>
        <w:color w:val="41525C"/>
        <w:sz w:val="18"/>
        <w:szCs w:val="18"/>
      </w:rPr>
      <w:t>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19F7"/>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C23"/>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3C9"/>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3CCDC-EEAD-4E31-A9D4-20375F458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941</Words>
  <Characters>4614</Characters>
  <Application>Microsoft Office Word</Application>
  <DocSecurity>0</DocSecurity>
  <Lines>135</Lines>
  <Paragraphs>35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5520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2016-04-08T12:48:00Z</dcterms:created>
  <dcterms:modified xsi:type="dcterms:W3CDTF">2016-04-08T12:48:00Z</dcterms:modified>
</cp:coreProperties>
</file>