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89CB9" w14:textId="77777777" w:rsidR="0033439D" w:rsidRDefault="00F65DE2" w:rsidP="0033439D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33439D">
        <w:rPr>
          <w:rFonts w:ascii="Verdana" w:hAnsi="Verdana"/>
          <w:color w:val="ED1C2A"/>
          <w:sz w:val="30"/>
        </w:rPr>
        <w:t>ПРЕСС-РЕЛИЗ</w:t>
      </w:r>
    </w:p>
    <w:p w14:paraId="7DF16209" w14:textId="77777777" w:rsidR="0033439D" w:rsidRPr="00164A29" w:rsidRDefault="0033439D" w:rsidP="0033439D">
      <w:pPr>
        <w:jc w:val="right"/>
        <w:rPr>
          <w:rFonts w:ascii="Verdana" w:hAnsi="Verdana"/>
          <w:color w:val="ED1C2A"/>
          <w:sz w:val="18"/>
          <w:szCs w:val="18"/>
        </w:rPr>
      </w:pPr>
      <w:proofErr w:type="gramStart"/>
      <w:r>
        <w:rPr>
          <w:rFonts w:ascii="Verdana" w:hAnsi="Verdana"/>
          <w:color w:val="41525C"/>
          <w:sz w:val="18"/>
        </w:rPr>
        <w:t>11 апреля 2016 г.</w:t>
      </w:r>
      <w:proofErr w:type="gramEnd"/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270C16EC" w14:textId="77777777" w:rsidR="00A00B83" w:rsidRDefault="00A00B83" w:rsidP="00A00B83">
      <w:pPr>
        <w:tabs>
          <w:tab w:val="left" w:pos="6096"/>
        </w:tabs>
        <w:spacing w:line="276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Potain представляет новую линейку безоголовочных кранов на выставке bauma 2016</w:t>
      </w:r>
    </w:p>
    <w:p w14:paraId="6645C10E" w14:textId="77777777" w:rsidR="00A00B83" w:rsidRPr="00530ACF" w:rsidRDefault="00A00B83" w:rsidP="00A00B83">
      <w:pPr>
        <w:tabs>
          <w:tab w:val="left" w:pos="6096"/>
        </w:tabs>
        <w:spacing w:line="276" w:lineRule="auto"/>
        <w:rPr>
          <w:rFonts w:ascii="Georgia" w:hAnsi="Georgia"/>
          <w:b/>
          <w:sz w:val="28"/>
          <w:szCs w:val="28"/>
        </w:rPr>
      </w:pPr>
    </w:p>
    <w:p w14:paraId="4AD13C13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Manitowoc демонстрирует три наиболее продвинутых башенных крана Potain на выставке bauma 2016, включая первый из новой продуктовой линейки.</w:t>
      </w:r>
      <w:proofErr w:type="gramEnd"/>
      <w:r>
        <w:rPr>
          <w:rFonts w:ascii="Georgia" w:hAnsi="Georgia"/>
          <w:sz w:val="21"/>
        </w:rPr>
        <w:t xml:space="preserve"> Совершенно новая модель MDT 389 представляет новую линейку и показана вместе с мощным стреловым мачтовым краном MR 418 и краном MDT 219, имеющим новейшую конструкцию городского крана MDT. </w:t>
      </w:r>
    </w:p>
    <w:p w14:paraId="57FA6F15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3D844BBA" w14:textId="77777777" w:rsidR="00A00B83" w:rsidRPr="007C0C45" w:rsidRDefault="00A00B83" w:rsidP="00A00B83">
      <w:pPr>
        <w:adjustRightInd w:val="0"/>
        <w:snapToGrid w:val="0"/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Представляем новейшую линейку Potain CCS</w:t>
      </w:r>
    </w:p>
    <w:p w14:paraId="1759E2E8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Кран MDT 389 является самым большим в новой линейке безоголовочных кранов от Potain.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Все новые краны оснащены системой управления краном (CCS) компании Manitowoc.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Полная линейка включает MDT 249, MDT 259, MDT 269, MDT 319 и MDT 389.</w:t>
      </w:r>
      <w:proofErr w:type="gramEnd"/>
    </w:p>
    <w:p w14:paraId="6E62AAEE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5A4465B2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CCS является стандартизированной, удобной в использовании операционной системой, которая появляется на всех новых башенных кранах Potain, предлагая пользователям наивысший уровень удобства, гибкости, эргономичного управления и грузоподъемности.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Такое увеличение производительности приводит к повышению рентабельности инвестиций для владельцев кранов Potain.</w:t>
      </w:r>
      <w:proofErr w:type="gramEnd"/>
      <w:r>
        <w:rPr>
          <w:rFonts w:ascii="Georgia" w:hAnsi="Georgia"/>
          <w:sz w:val="21"/>
        </w:rPr>
        <w:t xml:space="preserve"> </w:t>
      </w:r>
    </w:p>
    <w:p w14:paraId="0CFE3376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0F08E886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Жан-Ноэль Даген, старший вице-президент подразделения башенных кранов Potain в компании Manitowoc, отметил: «Мы находимся на передовой линии в области новейших разработок, а благодаря внедрению системы CCS на наших кранах Potain мы защитим свое лидирующее положение на рынке на ближайшие годы. </w:t>
      </w:r>
      <w:proofErr w:type="gramStart"/>
      <w:r>
        <w:rPr>
          <w:rFonts w:ascii="Georgia" w:hAnsi="Georgia"/>
          <w:sz w:val="21"/>
        </w:rPr>
        <w:t>В течение десятилетий компания Potain производит башенные краны, которые отличаются простотой сборки, гибкостью модификации и легкостью в эксплуатации.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Наши международные команды инженеров в течение многих лет совместно работали над воплощением этой новой линейки кранов в реальность.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Теперь наши краны еще лучше, чем прежде, и обладают возможностями, которые превосходят все имеющиеся на данный момент на рынке».</w:t>
      </w:r>
      <w:proofErr w:type="gramEnd"/>
    </w:p>
    <w:p w14:paraId="63CD0810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4BBB2E2B" w14:textId="77777777" w:rsidR="00A00B83" w:rsidRPr="005036C4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Как и остальные безоголовочные краны Potain, кран MDT 389 прекрасно подходит для тесных стройплощадок, где требуется несколько кранов.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Конструкция этого крана позволяет использовать несколько кранов в ограниченном пространстве.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Тибо Ле Беснере, генеральный директор по продукции Potain в области верхнеповоротных башенных кранов, отметил, что существует масса других функций, благодаря которым краны Potain MDT выделяются среди продукции конкурентов.</w:t>
      </w:r>
      <w:proofErr w:type="gramEnd"/>
      <w:r>
        <w:rPr>
          <w:rFonts w:ascii="Georgia" w:hAnsi="Georgia"/>
          <w:sz w:val="21"/>
        </w:rPr>
        <w:t xml:space="preserve"> </w:t>
      </w:r>
    </w:p>
    <w:p w14:paraId="66E71816" w14:textId="77777777" w:rsidR="00A00B83" w:rsidRPr="005036C4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4A93F67B" w14:textId="77777777" w:rsidR="00A00B83" w:rsidRPr="005036C4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«Кроме современной и оригинальной конструкции, обеспечивающей сверхбыструю подготовку грунта и сборку, линейка MDT с легкостью превосходит конкурентов в плане транспортировки.</w:t>
      </w:r>
      <w:proofErr w:type="gramEnd"/>
      <w:r>
        <w:rPr>
          <w:rFonts w:ascii="Georgia" w:hAnsi="Georgia"/>
          <w:sz w:val="21"/>
        </w:rPr>
        <w:t xml:space="preserve"> Например, поворотная платформа, опора кабины и кабина UltraView перемещаются в виде единого компактного узла, стрелу противовеса можно сложить, а размер платформы лебедки можно изменять для уменьшения занимаемого пространства, — сообщил он. — Кроме того, механизмы сгруппированы в центральной технической зоне для облегчения доступа и обслуживания».</w:t>
      </w:r>
    </w:p>
    <w:p w14:paraId="2963BB81" w14:textId="77777777" w:rsidR="00A00B83" w:rsidRPr="005036C4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721D1023" w14:textId="77777777" w:rsidR="00A00B83" w:rsidRPr="00AF57A7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В числе стандартных функций модель MDT 389 оснащена системой CraneSTAR компании Manitowoc с возможностью передачи данных GSM, которая предоставляет информацию о местоположении и работе крана и обеспечивает управление парком машин.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Кран Potain MDT 389 выпускается в двух вариантах с максимальной грузоподъемностью 12 и 16 тонн.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Максимальная длина гуська обоих вариантов достигает 75 метров.</w:t>
      </w:r>
      <w:proofErr w:type="gramEnd"/>
      <w:r>
        <w:rPr>
          <w:rFonts w:ascii="Georgia" w:hAnsi="Georgia"/>
          <w:sz w:val="21"/>
        </w:rPr>
        <w:t xml:space="preserve"> Версия грузоподъемностью 12 тонн может поднимать груз до 3</w:t>
      </w:r>
      <w:proofErr w:type="gramStart"/>
      <w:r>
        <w:rPr>
          <w:rFonts w:ascii="Georgia" w:hAnsi="Georgia"/>
          <w:sz w:val="21"/>
        </w:rPr>
        <w:t>,4</w:t>
      </w:r>
      <w:proofErr w:type="gramEnd"/>
      <w:r>
        <w:rPr>
          <w:rFonts w:ascii="Georgia" w:hAnsi="Georgia"/>
          <w:sz w:val="21"/>
        </w:rPr>
        <w:t xml:space="preserve"> тонны на конце гуська, а версия грузоподъемностью 16 тонн — до 3,3 тонны. </w:t>
      </w:r>
      <w:proofErr w:type="gramStart"/>
      <w:r>
        <w:rPr>
          <w:rFonts w:ascii="Georgia" w:hAnsi="Georgia"/>
          <w:sz w:val="21"/>
        </w:rPr>
        <w:t>Версия крана грузоподъемностью 16 тонн показывается на выставке bauma 2016.</w:t>
      </w:r>
      <w:proofErr w:type="gramEnd"/>
      <w:r>
        <w:rPr>
          <w:rFonts w:ascii="Georgia" w:hAnsi="Georgia"/>
          <w:sz w:val="21"/>
        </w:rPr>
        <w:t xml:space="preserve"> </w:t>
      </w:r>
    </w:p>
    <w:p w14:paraId="60010B78" w14:textId="77777777" w:rsidR="00A00B83" w:rsidRPr="00AF57A7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2321E512" w14:textId="77777777" w:rsidR="00A00B83" w:rsidRPr="00AF57A7" w:rsidRDefault="00A00B83" w:rsidP="00A00B83">
      <w:pPr>
        <w:adjustRightInd w:val="0"/>
        <w:snapToGrid w:val="0"/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Улучшенное управление для подъемных работ в центре города</w:t>
      </w:r>
    </w:p>
    <w:p w14:paraId="665D9B49" w14:textId="77777777" w:rsidR="00A00B83" w:rsidRPr="00AF57A7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Операционная система CCS впервые устанавливалась на башенные краны Potain в июне 2015 года в ходе мероприятия на заводе Manitowoc в г. Сен-Пьер-де-Шандё (Франция), которое посетили клиенты и журналисты. </w:t>
      </w:r>
      <w:proofErr w:type="gramStart"/>
      <w:r>
        <w:rPr>
          <w:rFonts w:ascii="Georgia" w:hAnsi="Georgia"/>
          <w:sz w:val="21"/>
        </w:rPr>
        <w:t>Компания Potain представила небольшое семейство кранов, оснащенных системой CCS.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Это линейка городских кранов MDT, включающая модель MDT 219, которая будет показана на выставке bauma 2016.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 эту линейку входят также модели MDT 109, MDT 139, MDT 189.</w:t>
      </w:r>
      <w:proofErr w:type="gramEnd"/>
      <w:r>
        <w:rPr>
          <w:rFonts w:ascii="Georgia" w:hAnsi="Georgia"/>
          <w:sz w:val="21"/>
        </w:rPr>
        <w:t xml:space="preserve"> </w:t>
      </w:r>
    </w:p>
    <w:p w14:paraId="301B1EC1" w14:textId="77777777" w:rsidR="00A00B83" w:rsidRPr="00AF57A7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1B77A6C9" w14:textId="77777777" w:rsidR="00A00B83" w:rsidRPr="00AF57A7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Как и модель MDT 389, кран MDT 219 имеет наибольшую грузоподъемность в линейке.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Кран MDT 219 выпускается в двух вариантах с максимальной грузоподъемностью 8 и 10 тонн.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На выставке bauma 2016 показан вариант грузоподъемностью 8 тонн.</w:t>
      </w:r>
      <w:proofErr w:type="gramEnd"/>
      <w:r>
        <w:rPr>
          <w:rFonts w:ascii="Georgia" w:hAnsi="Georgia"/>
          <w:sz w:val="21"/>
        </w:rPr>
        <w:t xml:space="preserve"> Все эти модели представляют собой развитие предыдущих моделей городских кранов MDT с длиной гуська от 55 до 65 м и грузоподъемностью лебедки от 6 до 10 тонн.</w:t>
      </w:r>
    </w:p>
    <w:p w14:paraId="58462A3C" w14:textId="77777777" w:rsidR="00A00B83" w:rsidRPr="00AF57A7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16CF2900" w14:textId="77777777" w:rsidR="00A00B83" w:rsidRPr="00AF57A7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Установка CCS в новую линейку безоголовочных городских кранов Potain ускоряет выполнение работ и обеспечивает более высокую точность.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Крановщик получает повышенный комфорт и более эргономичные органы управления.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Кроме того, технология обеспечивает более точное управление при размещении грузов и повышенную грузоподъемность.</w:t>
      </w:r>
      <w:proofErr w:type="gramEnd"/>
      <w:r>
        <w:rPr>
          <w:rFonts w:ascii="Georgia" w:hAnsi="Georgia"/>
          <w:sz w:val="21"/>
        </w:rPr>
        <w:t xml:space="preserve"> Установка CCS на модель MDT 219 обеспечивает превосходство в грузоподъемности по сравнению с эквивалентной моделью MDT 218 A безоголовочного городского крана без CCS, составляющее до 12</w:t>
      </w:r>
      <w:proofErr w:type="gramStart"/>
      <w:r>
        <w:rPr>
          <w:rFonts w:ascii="Georgia" w:hAnsi="Georgia"/>
          <w:sz w:val="21"/>
        </w:rPr>
        <w:t>,5</w:t>
      </w:r>
      <w:proofErr w:type="gramEnd"/>
      <w:r>
        <w:rPr>
          <w:rFonts w:ascii="Georgia" w:hAnsi="Georgia"/>
          <w:sz w:val="21"/>
        </w:rPr>
        <w:t xml:space="preserve"> процента. На мероприятии, где в 2015 года были представлены новые городские краны MDT, компания Manitowoc также провела презентацию двух новых лифтов для крановщиков кранов, разработанных в сотрудничестве с Alimak Hek. </w:t>
      </w:r>
      <w:proofErr w:type="gramStart"/>
      <w:r>
        <w:rPr>
          <w:rFonts w:ascii="Georgia" w:hAnsi="Georgia"/>
          <w:sz w:val="21"/>
        </w:rPr>
        <w:t>Эти лифты позволяют крановщикам быстро и эффективно подниматься и опускаться из кабины.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Эти решения разработаны с учетом самых строгих норм, соблюдение которых особенно важно в таких странах, как Франция и Нидерланды, а также в странах Скандинавии.</w:t>
      </w:r>
      <w:proofErr w:type="gramEnd"/>
      <w:r>
        <w:rPr>
          <w:rFonts w:ascii="Georgia" w:hAnsi="Georgia"/>
          <w:sz w:val="21"/>
        </w:rPr>
        <w:t xml:space="preserve"> </w:t>
      </w:r>
    </w:p>
    <w:p w14:paraId="24649960" w14:textId="77777777" w:rsidR="00A00B83" w:rsidRPr="00AF57A7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425CD071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Одно из решений, CabLIFT, устанавливается только на краны Potain.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Эта система, установленная на кран MDT 219, показывается на выставке bauma 2016.</w:t>
      </w:r>
      <w:proofErr w:type="gramEnd"/>
      <w:r>
        <w:rPr>
          <w:rFonts w:ascii="Georgia" w:hAnsi="Georgia"/>
          <w:sz w:val="21"/>
        </w:rPr>
        <w:t xml:space="preserve"> Решение имеет компактную конструкцию, позволяющую устанавливать его во все системы мачт серии K компании Potain, доступных с тремя значениями ширины: 1</w:t>
      </w:r>
      <w:proofErr w:type="gramStart"/>
      <w:r>
        <w:rPr>
          <w:rFonts w:ascii="Georgia" w:hAnsi="Georgia"/>
          <w:sz w:val="21"/>
        </w:rPr>
        <w:t>,6</w:t>
      </w:r>
      <w:proofErr w:type="gramEnd"/>
      <w:r>
        <w:rPr>
          <w:rFonts w:ascii="Georgia" w:hAnsi="Georgia"/>
          <w:sz w:val="21"/>
        </w:rPr>
        <w:t xml:space="preserve">, 2,0, 2,45 метра. </w:t>
      </w:r>
      <w:proofErr w:type="gramStart"/>
      <w:r>
        <w:rPr>
          <w:rFonts w:ascii="Georgia" w:hAnsi="Georgia"/>
          <w:sz w:val="21"/>
        </w:rPr>
        <w:t>Система совместима со всеми опорами крана, фиксированными углами, шасси и крестовидными опорами.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Хорошо продуманная конструкция CabLIFT включает сервисную платформу, установленную поверх основной кабины.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Она обеспечивает удобный и безопасный доступ монтажников в процессе сборки мачты и крана.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Другим решением для подъема крановщиков </w:t>
      </w:r>
      <w:r>
        <w:rPr>
          <w:rFonts w:ascii="Georgia" w:hAnsi="Georgia"/>
          <w:sz w:val="21"/>
        </w:rPr>
        <w:lastRenderedPageBreak/>
        <w:t>является устанавливаемая снаружи система TCL.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Обе системы станут доступны в продаже в 2016 году.</w:t>
      </w:r>
      <w:proofErr w:type="gramEnd"/>
      <w:r>
        <w:rPr>
          <w:rFonts w:ascii="Georgia" w:hAnsi="Georgia"/>
          <w:sz w:val="21"/>
          <w:highlight w:val="yellow"/>
        </w:rPr>
        <w:t xml:space="preserve"> </w:t>
      </w:r>
    </w:p>
    <w:p w14:paraId="7DB54D59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2F65486B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Кран Potain MR 418 показан в Европе</w:t>
      </w:r>
    </w:p>
    <w:p w14:paraId="5B97F8BA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Кран Potain MR 418 является первым из обновленной линейки кранов с подвижным гуськом, представленной в 2014 году.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Все краны линейки оснащены механизмами частотного управления для повышения точности.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Максимальная грузоподъемность крана равна 24 тоннам, а максимальная длина гуська — 60 м. Этот невероятно компактный кран можно быстро собрать и ввести в эксплуатацию.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Кроме того, он обеспечивает невероятно высокую скорость выполнения подъемных операций при работе на больших высотах.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Кран показывает оптимальную производительность при установке дополнительной лебедки 270 LVF 120 (для США предназначена лебедка 320 LVF 120), которая обеспечивает лучшие в отрасли возможности подъема и идеально подходит для использования на электростанциях или высотных зданиях, включая небоскребы.</w:t>
      </w:r>
      <w:proofErr w:type="gramEnd"/>
    </w:p>
    <w:p w14:paraId="702DD8D3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29E40E04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Лебедка мощностью 200 кВт (270 л.с.) вмещает 826 м троса, поэтому при однократной запасовке крюк может пройти расстояние в 826 м, а при двукратной запасовке вертикальное расстояние составляет 413 м. Кроме того, лебедка может обеспечить скорость до 254 м/мин для повышения производительности, а функция Power Control позволяет ей работать от различных источников питания и продолжать работу даже при наличии только маломощных источников на рабочей площадке. Более того, лебедка может автоматически адаптироваться для работы в электросетях с частотой 50 или 60 Гц, что облегчает ее использование в разных странах.</w:t>
      </w:r>
    </w:p>
    <w:p w14:paraId="2CFA7091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1EBD3E99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Клиенты, которым не требуется полная мощность лебедки 270 LVF 120, могут выбрать лебедку 150 LVF 120 мощностью 110 кВт </w:t>
      </w:r>
      <w:proofErr w:type="gramStart"/>
      <w:r>
        <w:rPr>
          <w:rFonts w:ascii="Georgia" w:hAnsi="Georgia"/>
          <w:sz w:val="21"/>
        </w:rPr>
        <w:t>(150 л.с.)</w:t>
      </w:r>
      <w:proofErr w:type="gramEnd"/>
      <w:r>
        <w:rPr>
          <w:rFonts w:ascii="Georgia" w:hAnsi="Georgia"/>
          <w:sz w:val="21"/>
        </w:rPr>
        <w:t xml:space="preserve"> (</w:t>
      </w:r>
      <w:proofErr w:type="gramStart"/>
      <w:r>
        <w:rPr>
          <w:rFonts w:ascii="Georgia" w:hAnsi="Georgia"/>
          <w:sz w:val="21"/>
        </w:rPr>
        <w:t>для</w:t>
      </w:r>
      <w:proofErr w:type="gramEnd"/>
      <w:r>
        <w:rPr>
          <w:rFonts w:ascii="Georgia" w:hAnsi="Georgia"/>
          <w:sz w:val="21"/>
        </w:rPr>
        <w:t xml:space="preserve"> США предназначена модель 180 LVF 120, которая поставляется в стандартной комплектации). </w:t>
      </w:r>
      <w:proofErr w:type="gramStart"/>
      <w:r>
        <w:rPr>
          <w:rFonts w:ascii="Georgia" w:hAnsi="Georgia"/>
          <w:sz w:val="21"/>
        </w:rPr>
        <w:t>Емкость барабана этой лебедки составляет 552 м, а скорость намотки лебедки может составлять 210 м/мин.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Возможность выбора позволяет заказчикам определить оптимально подходящую для них конфигурацию, которая обеспечила бы максимально быструю окупаемость вложенных средств в соответствии с требованиями заказчика.</w:t>
      </w:r>
      <w:proofErr w:type="gramEnd"/>
      <w:r>
        <w:rPr>
          <w:rFonts w:ascii="Georgia" w:hAnsi="Georgia"/>
          <w:sz w:val="21"/>
        </w:rPr>
        <w:t xml:space="preserve"> </w:t>
      </w:r>
    </w:p>
    <w:p w14:paraId="5D1737D7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5EC61F27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Однако внимание клиентов привлекут не только новый механизм и улучшенная грузоподъемность.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Удобная в использовании конструкция крана включает механизм изменения вылета стрелы и уникальную лебедку, встроенную в противовесную консоль.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Кроме того, кран оснащен крупной легкодоступной сервисной платформой позади кабины, предоставляющей техникам единую зону доступа ко всем крупным точкам обслуживания.</w:t>
      </w:r>
      <w:proofErr w:type="gramEnd"/>
    </w:p>
    <w:p w14:paraId="71A5F228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0647E451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Быстрая подготовка крана к работе возможна благодаря новой бортовой системе управления, позволяющей технику ввести кран в работу уже в течение нескольких минут после завершения монтажа.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Простой ввод параметров длины гуська, рабочей высоты и тестовой нагрузки на панели управления крана обеспечивает быструю и точную калибровку.</w:t>
      </w:r>
      <w:proofErr w:type="gramEnd"/>
    </w:p>
    <w:p w14:paraId="0F0EAD9A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4126ACEF" w14:textId="77777777" w:rsidR="00A00B83" w:rsidRPr="00453190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Что касается рабочей высоты, интеллектуальная система стойки Potain обеспечивает расширенные возможности для решения проблем строительства высотных зданий.</w:t>
      </w:r>
      <w:proofErr w:type="gramEnd"/>
      <w:r>
        <w:rPr>
          <w:rFonts w:ascii="Georgia" w:hAnsi="Georgia"/>
          <w:sz w:val="21"/>
        </w:rPr>
        <w:t xml:space="preserve"> Кран </w:t>
      </w:r>
      <w:r>
        <w:rPr>
          <w:rFonts w:ascii="Georgia" w:hAnsi="Georgia"/>
          <w:sz w:val="21"/>
        </w:rPr>
        <w:lastRenderedPageBreak/>
        <w:t>можно устанавливать под фиксированными углами на шасси различных размеров: 6 x 6 м; 8 x 8 м и 10 x 10 м. Например, высота крана 90 м в отдельно стоящем положении может быть достигнута при использовании шасси 10 x 10 м и использовании гуська длиной 30 м. Благодаря тому, что конструкция крана ориентирована на строительство высоких объектов, для достижения рабочей высоты в 197 м при использовании гуська длиной 30 м и фиксированного угла P850A (ветровой режим FEM 1.001) требуется установка только трех креплений.</w:t>
      </w:r>
    </w:p>
    <w:p w14:paraId="03C52B50" w14:textId="77777777" w:rsidR="00A00B83" w:rsidRDefault="00A00B83" w:rsidP="00A00B83">
      <w:pPr>
        <w:adjustRightInd w:val="0"/>
        <w:snapToGrid w:val="0"/>
        <w:rPr>
          <w:rFonts w:ascii="Georgia" w:hAnsi="Georgia" w:cs="Georgia"/>
          <w:sz w:val="21"/>
          <w:szCs w:val="21"/>
        </w:rPr>
      </w:pPr>
    </w:p>
    <w:p w14:paraId="3210B18B" w14:textId="77777777" w:rsidR="0033439D" w:rsidRPr="009E2F97" w:rsidRDefault="0033439D" w:rsidP="0033439D">
      <w:pPr>
        <w:pStyle w:val="BodyText"/>
        <w:ind w:left="0"/>
        <w:rPr>
          <w:lang w:val="en-GB"/>
        </w:rPr>
      </w:pPr>
      <w:bookmarkStart w:id="0" w:name="_GoBack"/>
      <w:bookmarkEnd w:id="0"/>
    </w:p>
    <w:p w14:paraId="4577FCAF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-КОНЕЦ-</w:t>
      </w:r>
    </w:p>
    <w:p w14:paraId="2725A197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69B4D36D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6721FC35" w14:textId="77777777" w:rsidR="0033439D" w:rsidRPr="00727B58" w:rsidRDefault="0033439D" w:rsidP="0033439D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КОНТАКТЫ </w:t>
      </w:r>
      <w:r>
        <w:tab/>
      </w:r>
      <w:r>
        <w:tab/>
      </w:r>
      <w:r>
        <w:tab/>
      </w:r>
      <w:r>
        <w:tab/>
      </w:r>
    </w:p>
    <w:p w14:paraId="1DD56003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Кристель Лакур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Чарли Эберс </w:t>
      </w:r>
    </w:p>
    <w:p w14:paraId="1DD11601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945DFB4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+33 472 182 018</w:t>
      </w:r>
      <w:r>
        <w:tab/>
      </w:r>
      <w:r>
        <w:rPr>
          <w:rFonts w:ascii="Georgia" w:hAnsi="Georgia"/>
          <w:color w:val="41525C"/>
          <w:sz w:val="19"/>
        </w:rPr>
        <w:t>Тел.: +44 207 923 5864</w:t>
      </w:r>
    </w:p>
    <w:p w14:paraId="08A3F734" w14:textId="77777777" w:rsidR="0033439D" w:rsidRPr="00727B58" w:rsidRDefault="0033439D" w:rsidP="0033439D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54F2E48" w14:textId="77777777" w:rsidR="0033439D" w:rsidRPr="00727B58" w:rsidRDefault="0033439D" w:rsidP="0033439D">
      <w:pPr>
        <w:rPr>
          <w:rFonts w:ascii="Georgia" w:hAnsi="Georgia" w:cs="Georgia"/>
          <w:sz w:val="19"/>
          <w:szCs w:val="19"/>
        </w:rPr>
      </w:pPr>
    </w:p>
    <w:p w14:paraId="19AF2FF7" w14:textId="77777777" w:rsidR="0033439D" w:rsidRPr="00A16219" w:rsidRDefault="0033439D" w:rsidP="0033439D">
      <w:pPr>
        <w:rPr>
          <w:rFonts w:ascii="Georgia" w:hAnsi="Georgia" w:cs="Arial"/>
          <w:sz w:val="19"/>
          <w:szCs w:val="19"/>
        </w:rPr>
      </w:pPr>
    </w:p>
    <w:p w14:paraId="70CFC5DC" w14:textId="77777777" w:rsidR="0033439D" w:rsidRPr="008E70D4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О КОМПАНИИ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Основанная в 1902 году компания Manitowoc Company, Inc. является ведущим производителем кранов и решений для подъемных работ. </w:t>
      </w:r>
      <w:proofErr w:type="gramStart"/>
      <w:r>
        <w:rPr>
          <w:rFonts w:ascii="Georgia" w:hAnsi="Georgia"/>
          <w:color w:val="41525C"/>
          <w:sz w:val="19"/>
        </w:rPr>
        <w:t>Структура компании включает в себя 49 производственных объектов, дистрибьюторских центров и вспомогательных служб в 20 странах.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Manitowoc признана одним из ведущих производителей гусеничных, башенных и самоходных кранов для строительства крупных инженерных сооружений.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осуществляет лучшую в отрасли всестороннюю послепродажную поддержку своей продукции.</w:t>
      </w:r>
      <w:proofErr w:type="gramEnd"/>
      <w:r>
        <w:rPr>
          <w:rFonts w:ascii="Georgia" w:hAnsi="Georgia"/>
          <w:color w:val="41525C"/>
          <w:sz w:val="19"/>
        </w:rPr>
        <w:t xml:space="preserve"> В 2015 году доход компании Manitowoc составил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миллиарда долларов США, причем более половины этого дохода было получено за пределами США.</w:t>
      </w:r>
    </w:p>
    <w:p w14:paraId="6DE66C6D" w14:textId="77777777" w:rsidR="0033439D" w:rsidRPr="009222C2" w:rsidRDefault="0033439D" w:rsidP="0033439D">
      <w:pPr>
        <w:rPr>
          <w:rFonts w:ascii="Georgia" w:hAnsi="Georgia"/>
          <w:color w:val="41525C"/>
          <w:sz w:val="19"/>
          <w:szCs w:val="19"/>
        </w:rPr>
      </w:pPr>
    </w:p>
    <w:p w14:paraId="3BDA73D4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469A6AF3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— PO Box 70</w:t>
      </w:r>
      <w:r>
        <w:rPr>
          <w:rFonts w:ascii="Georgia" w:hAnsi="Georgia"/>
          <w:sz w:val="19"/>
        </w:rPr>
        <w:t xml:space="preserve"> — </w:t>
      </w:r>
      <w:r>
        <w:rPr>
          <w:rFonts w:ascii="Georgia" w:hAnsi="Georgia"/>
          <w:color w:val="41525C"/>
          <w:sz w:val="19"/>
        </w:rPr>
        <w:t>Manitowoc, WI 54221-0070</w:t>
      </w:r>
    </w:p>
    <w:p w14:paraId="2D05CB70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+1 920 684 6621</w:t>
      </w:r>
    </w:p>
    <w:p w14:paraId="525A5563" w14:textId="77777777" w:rsidR="0033439D" w:rsidRDefault="0033439D" w:rsidP="0033439D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E8A9EAA" w14:textId="77777777" w:rsidR="0033439D" w:rsidRDefault="0033439D" w:rsidP="00E26E55">
      <w:pPr>
        <w:rPr>
          <w:rFonts w:ascii="Georgia" w:hAnsi="Georgia"/>
          <w:color w:val="ED1C2A"/>
          <w:sz w:val="19"/>
          <w:szCs w:val="19"/>
          <w:lang w:val="fr-FR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410E4" w14:textId="77777777" w:rsidR="00EF1004" w:rsidRDefault="00EF1004">
      <w:r>
        <w:separator/>
      </w:r>
    </w:p>
  </w:endnote>
  <w:endnote w:type="continuationSeparator" w:id="0">
    <w:p w14:paraId="17FC1FCF" w14:textId="77777777" w:rsidR="00EF1004" w:rsidRDefault="00EF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C792D" w14:textId="77777777" w:rsidR="00EF1004" w:rsidRDefault="00EF1004">
      <w:r>
        <w:separator/>
      </w:r>
    </w:p>
  </w:footnote>
  <w:footnote w:type="continuationSeparator" w:id="0">
    <w:p w14:paraId="2233ACFF" w14:textId="77777777" w:rsidR="00EF1004" w:rsidRDefault="00EF1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32FD0" w14:textId="77777777" w:rsidR="007E55F7" w:rsidRPr="00164A29" w:rsidRDefault="007E55F7" w:rsidP="007E55F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131BFB6" w14:textId="77777777" w:rsidR="00B92197" w:rsidRPr="00164A29" w:rsidRDefault="00B92197" w:rsidP="00B9219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3BED299E" w14:textId="77777777" w:rsidR="00A00B83" w:rsidRPr="00164A29" w:rsidRDefault="00A00B83" w:rsidP="00A00B83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462650C" w14:textId="77777777" w:rsidR="00A00B83" w:rsidRPr="00164A29" w:rsidRDefault="00A00B83" w:rsidP="00A00B83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Краны Potain на выставке bauma 2016</w:t>
    </w:r>
  </w:p>
  <w:p w14:paraId="36369DE0" w14:textId="77777777" w:rsidR="0033439D" w:rsidRPr="00164A29" w:rsidRDefault="0033439D" w:rsidP="0033439D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 апреля 2016 г.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439D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E55F7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2F97"/>
    <w:rsid w:val="009E4B9E"/>
    <w:rsid w:val="009E73DE"/>
    <w:rsid w:val="009E7DC0"/>
    <w:rsid w:val="009E7E4A"/>
    <w:rsid w:val="009F02B6"/>
    <w:rsid w:val="009F0D22"/>
    <w:rsid w:val="009F5917"/>
    <w:rsid w:val="009F7FC8"/>
    <w:rsid w:val="00A00B83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178F8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67BD3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197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004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FF0997-38AA-4A06-8D47-1C0AEF0F0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1786</Words>
  <Characters>8754</Characters>
  <Application>Microsoft Office Word</Application>
  <DocSecurity>0</DocSecurity>
  <Lines>257</Lines>
  <Paragraphs>67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10473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2016-04-08T14:03:00Z</dcterms:created>
  <dcterms:modified xsi:type="dcterms:W3CDTF">2016-04-08T14:03:00Z</dcterms:modified>
</cp:coreProperties>
</file>