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BA3DA" w14:textId="77777777" w:rsidR="00C72369" w:rsidRDefault="00F65DE2" w:rsidP="00C72369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C72369">
        <w:rPr>
          <w:rFonts w:ascii="Verdana" w:hAnsi="Verdana"/>
          <w:color w:val="ED1C2A"/>
          <w:sz w:val="30"/>
        </w:rPr>
        <w:t>COMUNICADO DE PRENSA</w:t>
      </w:r>
    </w:p>
    <w:p w14:paraId="71A9D415" w14:textId="77777777" w:rsidR="00C72369" w:rsidRPr="00164A29" w:rsidRDefault="00C72369" w:rsidP="00C72369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11 de abril de 2016</w:t>
      </w:r>
    </w:p>
    <w:p w14:paraId="3CA589AB" w14:textId="6A55105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2B42F2DB" w14:textId="77777777" w:rsidR="00607950" w:rsidRPr="008E70D4" w:rsidRDefault="00607950" w:rsidP="00607950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284F6B6" w14:textId="77777777" w:rsidR="00266B99" w:rsidRDefault="00266B99" w:rsidP="00794C2F">
      <w:pPr>
        <w:tabs>
          <w:tab w:val="left" w:pos="6096"/>
        </w:tabs>
        <w:spacing w:line="276" w:lineRule="auto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Manitowoc lanza grúas Potain Hup nuevas en bauma 2016</w:t>
      </w:r>
    </w:p>
    <w:p w14:paraId="78648CAC" w14:textId="77777777" w:rsidR="00266B99" w:rsidRDefault="00266B99" w:rsidP="00794C2F">
      <w:pPr>
        <w:adjustRightInd w:val="0"/>
        <w:snapToGrid w:val="0"/>
        <w:rPr>
          <w:rFonts w:ascii="Georgia" w:hAnsi="Georgia"/>
          <w:b/>
          <w:sz w:val="28"/>
        </w:rPr>
      </w:pPr>
    </w:p>
    <w:p w14:paraId="01898DB2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Una grúa autoerigible innovadora, la primera de la nueva línea Potain Hup, es presentada por Manitowoc Cranes en bauma 2016.</w:t>
      </w:r>
      <w:proofErr w:type="gramEnd"/>
      <w:r>
        <w:rPr>
          <w:rFonts w:ascii="Georgia" w:hAnsi="Georgia"/>
          <w:sz w:val="21"/>
        </w:rPr>
        <w:t xml:space="preserve"> Con características de diseño singulares e innovadoras, la avanzada Potain Hup 32-27 es la primera de una línea exclusiva. Esta grúa exhibe la gran inversión en tiempo y recursos, incluyendo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período de extensos trabajos de investigación y pruebas, que condujo a la creación de este modelo tan avanzado, el cual sustituye a cuatro grúas Potain Igo. </w:t>
      </w:r>
    </w:p>
    <w:p w14:paraId="150D8729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4306EACA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La grúa Hup ofrece una capacidad de elevación superior a grandes alturas, lo que aumenta la productividad para los clientes. Igual que otras grúas autoerigibles, la nueva Hup 32-27 es muy adecuada para obras de espacio limitado y en estos proyectos la nueva grúa proporcionará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rendimiento sin precedente. Cuenta con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mástil de dos secciones ajustable que tiene una tercera sección contenida dentro de la segunda. Este diseño permite que la tercera sección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mástil se extienda para aumentar la altura de trabajo de la grúa a 27 metros. </w:t>
      </w:r>
    </w:p>
    <w:p w14:paraId="7B6A23E1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31EF64D4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Configurada en “posición baja”, la altura de trabajo es de 21 metros, y esta configuración incluye una ligera extensión de la tercera sección del mástil, la cual se extiende un poco como parte del proceso de erección del plumín. </w:t>
      </w:r>
      <w:proofErr w:type="gramStart"/>
      <w:r>
        <w:rPr>
          <w:rFonts w:ascii="Georgia" w:hAnsi="Georgia"/>
          <w:sz w:val="21"/>
        </w:rPr>
        <w:t>Tener la sección de mástil adicional incorporada en el diseño permite una preparación más rápida y conveniente.</w:t>
      </w:r>
      <w:proofErr w:type="gramEnd"/>
      <w:r>
        <w:rPr>
          <w:rFonts w:ascii="Georgia" w:hAnsi="Georgia"/>
          <w:sz w:val="21"/>
        </w:rPr>
        <w:t xml:space="preserve"> </w:t>
      </w:r>
    </w:p>
    <w:p w14:paraId="47FBD6AE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367BDDC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Se aporta más versatilidad a través de la capacidad de inclinación del plumín con una selección de tres posiciones elevadas a 10°, 20° y 30°, además de horizontal. La altura máxima bajo el gancho que la grúa puede alcanzar es 40 metros. </w:t>
      </w:r>
      <w:proofErr w:type="gramStart"/>
      <w:r>
        <w:rPr>
          <w:rFonts w:ascii="Georgia" w:hAnsi="Georgia"/>
          <w:sz w:val="21"/>
        </w:rPr>
        <w:t>Hay disponibles varias configuraciones de plumín que ofrecen alcance horizontal de 11 metros, 23 metros o el máximo de 32 metros.</w:t>
      </w:r>
      <w:proofErr w:type="gramEnd"/>
      <w:r>
        <w:rPr>
          <w:rFonts w:ascii="Georgia" w:hAnsi="Georgia"/>
          <w:sz w:val="21"/>
        </w:rPr>
        <w:t xml:space="preserve"> La retracción o extensión del plumín es una operación rápida y sencilla, y la Hup 32-27 ofrece una capacidad de elevación mayor cuando funciona con sus largos de plumín más cortos, o alcance adicional cuando está completamente extendido.</w:t>
      </w:r>
    </w:p>
    <w:p w14:paraId="5DEB62EF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A3F45A4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La eficiencia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operador se maximiza con el uso del nuevo control a distancia por radio de Manitowoc. Provisto de una pantalla grande de color con función de navegación fácil de </w:t>
      </w:r>
      <w:proofErr w:type="gramStart"/>
      <w:r>
        <w:rPr>
          <w:rFonts w:ascii="Georgia" w:hAnsi="Georgia"/>
          <w:sz w:val="21"/>
        </w:rPr>
        <w:t>usar</w:t>
      </w:r>
      <w:proofErr w:type="gramEnd"/>
      <w:r>
        <w:rPr>
          <w:rFonts w:ascii="Georgia" w:hAnsi="Georgia"/>
          <w:sz w:val="21"/>
        </w:rPr>
        <w:t xml:space="preserve"> por medio de un cuadrante de movimiento lento, el nuevo control a distancia ofrece ergonomía optimizada. También proporciona una información singular y simplificada paso por paso en pantalla </w:t>
      </w:r>
      <w:proofErr w:type="gramStart"/>
      <w:r>
        <w:rPr>
          <w:rFonts w:ascii="Georgia" w:hAnsi="Georgia"/>
          <w:sz w:val="21"/>
        </w:rPr>
        <w:t>durante</w:t>
      </w:r>
      <w:proofErr w:type="gramEnd"/>
      <w:r>
        <w:rPr>
          <w:rFonts w:ascii="Georgia" w:hAnsi="Georgia"/>
          <w:sz w:val="21"/>
        </w:rPr>
        <w:t xml:space="preserve"> la erección de la grúa, como parte del nuevo software Smart Set Up. </w:t>
      </w:r>
      <w:proofErr w:type="gramStart"/>
      <w:r>
        <w:rPr>
          <w:rFonts w:ascii="Georgia" w:hAnsi="Georgia"/>
          <w:sz w:val="21"/>
        </w:rPr>
        <w:t>El control</w:t>
      </w:r>
      <w:proofErr w:type="gramEnd"/>
      <w:r>
        <w:rPr>
          <w:rFonts w:ascii="Georgia" w:hAnsi="Georgia"/>
          <w:sz w:val="21"/>
        </w:rPr>
        <w:t xml:space="preserve"> a distancia ofrece tres perfiles operativos que permiten al operador variar la velocidad de trabajo de la grúa para adaptarla a la aplicación. </w:t>
      </w:r>
      <w:proofErr w:type="gramStart"/>
      <w:r>
        <w:rPr>
          <w:rFonts w:ascii="Georgia" w:hAnsi="Georgia"/>
          <w:sz w:val="21"/>
        </w:rPr>
        <w:t>El malacate incluye la tecnología High Performance Lifting comprobada de Potain que proporciona velocidades inigualadas.</w:t>
      </w:r>
      <w:proofErr w:type="gramEnd"/>
      <w:r>
        <w:rPr>
          <w:rFonts w:ascii="Georgia" w:hAnsi="Georgia"/>
          <w:sz w:val="21"/>
        </w:rPr>
        <w:t xml:space="preserve"> Se puede </w:t>
      </w:r>
      <w:proofErr w:type="gramStart"/>
      <w:r>
        <w:rPr>
          <w:rFonts w:ascii="Georgia" w:hAnsi="Georgia"/>
          <w:sz w:val="21"/>
        </w:rPr>
        <w:t>usar</w:t>
      </w:r>
      <w:proofErr w:type="gramEnd"/>
      <w:r>
        <w:rPr>
          <w:rFonts w:ascii="Georgia" w:hAnsi="Georgia"/>
          <w:sz w:val="21"/>
        </w:rPr>
        <w:t xml:space="preserve"> una herramienta de diagnóstico incorporada para servicio de apoyo de la grúa, y también hay indicadores de advertencia de mantenimiento para el carro, los mecanismos de elevación e inclinación, y los niveles de lubricación. </w:t>
      </w:r>
    </w:p>
    <w:p w14:paraId="585F5DBF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5D9C58ED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“Nos complace presentar la próxima generación de grúas autoerigibles Potain en bauma 2016, con características que establecen nuevas </w:t>
      </w:r>
      <w:proofErr w:type="gramStart"/>
      <w:r>
        <w:rPr>
          <w:rFonts w:ascii="Georgia" w:hAnsi="Georgia"/>
          <w:sz w:val="21"/>
        </w:rPr>
        <w:t>normas</w:t>
      </w:r>
      <w:proofErr w:type="gramEnd"/>
      <w:r>
        <w:rPr>
          <w:rFonts w:ascii="Georgia" w:hAnsi="Georgia"/>
          <w:sz w:val="21"/>
        </w:rPr>
        <w:t xml:space="preserve"> de excelencia para el sector de grúas autoerigibles,” dijo Jean-Pierre Zaffiro, director global de productos de Manitowoc para grúas autoerigibles Potain. </w:t>
      </w:r>
      <w:proofErr w:type="gramStart"/>
      <w:r>
        <w:rPr>
          <w:rFonts w:ascii="Georgia" w:hAnsi="Georgia"/>
          <w:sz w:val="21"/>
        </w:rPr>
        <w:t xml:space="preserve">“Hemos simplificado para los clientes el manejo y transporte de la grúa y también hemos introducido </w:t>
      </w:r>
      <w:r>
        <w:rPr>
          <w:rFonts w:ascii="Georgia" w:hAnsi="Georgia"/>
          <w:sz w:val="21"/>
        </w:rPr>
        <w:lastRenderedPageBreak/>
        <w:t>nuevos componentes que proveen a los usuarios una máquina más potente.</w:t>
      </w:r>
      <w:proofErr w:type="gramEnd"/>
      <w:r>
        <w:rPr>
          <w:rFonts w:ascii="Georgia" w:hAnsi="Georgia"/>
          <w:sz w:val="21"/>
        </w:rPr>
        <w:t xml:space="preserve"> Pero más importante aun, estas nuevas grúas Hup ofrecen mejor visualidad que nunca antes. Al incorporar </w:t>
      </w:r>
      <w:proofErr w:type="gramStart"/>
      <w:r>
        <w:rPr>
          <w:rFonts w:ascii="Georgia" w:hAnsi="Georgia"/>
          <w:sz w:val="21"/>
        </w:rPr>
        <w:t>tanta</w:t>
      </w:r>
      <w:proofErr w:type="gramEnd"/>
      <w:r>
        <w:rPr>
          <w:rFonts w:ascii="Georgia" w:hAnsi="Georgia"/>
          <w:sz w:val="21"/>
        </w:rPr>
        <w:t xml:space="preserve"> potencia y flexibilidad en el diseño de cada grúa estamos permitiendo a los dueños abarcar una gama mucho más amplia de trabajos con una sola máquina. </w:t>
      </w:r>
      <w:proofErr w:type="gramStart"/>
      <w:r>
        <w:rPr>
          <w:rFonts w:ascii="Georgia" w:hAnsi="Georgia"/>
          <w:sz w:val="21"/>
        </w:rPr>
        <w:t>Y esto les permitirá aumentar significativamente sus tasas de utilización.”</w:t>
      </w:r>
      <w:proofErr w:type="gramEnd"/>
      <w:r>
        <w:rPr>
          <w:rFonts w:ascii="Georgia" w:hAnsi="Georgia"/>
          <w:sz w:val="21"/>
        </w:rPr>
        <w:t xml:space="preserve"> </w:t>
      </w:r>
    </w:p>
    <w:p w14:paraId="520C758E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4306B349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La Hup 32-27 tiene una capacidad máxima de 4 toneladas y puede elevar 1 tonelada en el extremo de su plumín de 32 metros. La agilidad en la obra fue una consideración clave para la nueva línea de grúas, por eso la Hup 32-27 tiene un radio de inclinación trasero de apenas 2,25 metros que le permite colocarse más cerca de los edificios. Hay dos opciones de dimensiones, 4 x 4 metros o 3</w:t>
      </w:r>
      <w:proofErr w:type="gramStart"/>
      <w:r>
        <w:rPr>
          <w:rFonts w:ascii="Georgia" w:hAnsi="Georgia"/>
          <w:sz w:val="21"/>
        </w:rPr>
        <w:t>,5</w:t>
      </w:r>
      <w:proofErr w:type="gramEnd"/>
      <w:r>
        <w:rPr>
          <w:rFonts w:ascii="Georgia" w:hAnsi="Georgia"/>
          <w:sz w:val="21"/>
        </w:rPr>
        <w:t xml:space="preserve"> x 4,42 metros, mientras que el movimiento de desplegado permite emplazarla incluso en los espacios más congestionados. Además,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sistema de nivelación incorporado permite la colocación en pendientes de hasta 8 por ciento o sobre diferencias de altura de hasta 25 cm. </w:t>
      </w:r>
    </w:p>
    <w:p w14:paraId="7318C42B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182A9EDC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Debido a que el enhebrado de la Hup 32-27 se configura automáticamente a cuatro secciones de cable, es capaz de producir su capacidad de elevación óptima tan pronto queda configurada en la obra. Y tal como sucede con la preparación, se optimizó el transporte de modo que la Hup 32-27 en configuración plegada mide 4 metros de alto por 12 metros de largo lo cual también permite colocarla dentro de un solo contenedor para embarque al extranjero rápido y rentable. La grúa funciona con </w:t>
      </w:r>
      <w:proofErr w:type="gramStart"/>
      <w:r>
        <w:rPr>
          <w:rFonts w:ascii="Georgia" w:hAnsi="Georgia"/>
          <w:sz w:val="21"/>
        </w:rPr>
        <w:t>fuentes</w:t>
      </w:r>
      <w:proofErr w:type="gramEnd"/>
      <w:r>
        <w:rPr>
          <w:rFonts w:ascii="Georgia" w:hAnsi="Georgia"/>
          <w:sz w:val="21"/>
        </w:rPr>
        <w:t xml:space="preserve"> de alimentación trifásicas de 480 voltios.</w:t>
      </w:r>
    </w:p>
    <w:p w14:paraId="361D0D5A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13960EB7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“Realmente, con la Hup 32-27 es </w:t>
      </w:r>
      <w:proofErr w:type="gramStart"/>
      <w:r>
        <w:rPr>
          <w:rFonts w:ascii="Georgia" w:hAnsi="Georgia"/>
          <w:sz w:val="21"/>
        </w:rPr>
        <w:t>como</w:t>
      </w:r>
      <w:proofErr w:type="gramEnd"/>
      <w:r>
        <w:rPr>
          <w:rFonts w:ascii="Georgia" w:hAnsi="Georgia"/>
          <w:sz w:val="21"/>
        </w:rPr>
        <w:t xml:space="preserve"> tener cuatro grúas en una y los comentarios iniciales que hemos recibido de los clientes han sido extremadamente positivos,” continuó Zaffiro. </w:t>
      </w:r>
      <w:proofErr w:type="gramStart"/>
      <w:r>
        <w:rPr>
          <w:rFonts w:ascii="Georgia" w:hAnsi="Georgia"/>
          <w:sz w:val="21"/>
        </w:rPr>
        <w:t>“Hemos pasado más de un año probando estas grúas para convertirlas en realidad y estamos seguros que esta nueva línea realmente representa la vanguardia de la tecnología de grúas autoerigibles.”</w:t>
      </w:r>
      <w:proofErr w:type="gramEnd"/>
      <w:r>
        <w:rPr>
          <w:rFonts w:ascii="Georgia" w:hAnsi="Georgia"/>
          <w:sz w:val="21"/>
        </w:rPr>
        <w:t xml:space="preserve"> </w:t>
      </w:r>
    </w:p>
    <w:p w14:paraId="7EBF2DDC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074F57A6" w14:textId="77777777" w:rsidR="00266B99" w:rsidRDefault="00266B99" w:rsidP="00266B9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La Hup 40-30 será la segunda grúa en </w:t>
      </w:r>
      <w:proofErr w:type="gramStart"/>
      <w:r>
        <w:rPr>
          <w:rFonts w:ascii="Georgia" w:hAnsi="Georgia"/>
          <w:sz w:val="21"/>
        </w:rPr>
        <w:t>la</w:t>
      </w:r>
      <w:proofErr w:type="gramEnd"/>
      <w:r>
        <w:rPr>
          <w:rFonts w:ascii="Georgia" w:hAnsi="Georgia"/>
          <w:sz w:val="21"/>
        </w:rPr>
        <w:t xml:space="preserve"> línea después de la introducción de la Hup 32-27 en bauma 2016. La compañía lanzará formalmente esta grúa a fines de 2016. </w:t>
      </w:r>
      <w:proofErr w:type="gramStart"/>
      <w:r>
        <w:rPr>
          <w:rFonts w:ascii="Georgia" w:hAnsi="Georgia"/>
          <w:sz w:val="21"/>
        </w:rPr>
        <w:t>Las entregas de la Hup 32-27 comenzarán más adelante en 2016.</w:t>
      </w:r>
      <w:proofErr w:type="gramEnd"/>
      <w:r>
        <w:rPr>
          <w:rFonts w:ascii="Georgia" w:hAnsi="Georgia"/>
          <w:sz w:val="21"/>
        </w:rPr>
        <w:t xml:space="preserve"> </w:t>
      </w:r>
    </w:p>
    <w:p w14:paraId="09E21F0D" w14:textId="77777777" w:rsidR="00266B99" w:rsidRDefault="00266B99" w:rsidP="00794C2F">
      <w:pPr>
        <w:adjustRightInd w:val="0"/>
        <w:snapToGrid w:val="0"/>
        <w:rPr>
          <w:rFonts w:ascii="Georgia" w:hAnsi="Georgia"/>
          <w:sz w:val="21"/>
        </w:rPr>
      </w:pPr>
    </w:p>
    <w:p w14:paraId="2863915E" w14:textId="77777777" w:rsidR="00607950" w:rsidRDefault="00607950" w:rsidP="00607950">
      <w:pPr>
        <w:rPr>
          <w:rFonts w:ascii="Georgia" w:eastAsiaTheme="minorHAnsi" w:hAnsi="Georgia"/>
          <w:sz w:val="21"/>
          <w:szCs w:val="21"/>
        </w:rPr>
      </w:pPr>
      <w:bookmarkStart w:id="0" w:name="_GoBack"/>
      <w:bookmarkEnd w:id="0"/>
    </w:p>
    <w:p w14:paraId="12430B5F" w14:textId="77777777" w:rsidR="00C72369" w:rsidRDefault="00C72369" w:rsidP="00C72369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-FIN-</w:t>
      </w:r>
    </w:p>
    <w:p w14:paraId="3117EE17" w14:textId="77777777" w:rsidR="00C72369" w:rsidRDefault="00C72369" w:rsidP="00C72369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E15B321" w14:textId="77777777" w:rsidR="00C72369" w:rsidRDefault="00C72369" w:rsidP="00C72369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18603D5" w14:textId="77777777" w:rsidR="00C72369" w:rsidRPr="00727B58" w:rsidRDefault="00C72369" w:rsidP="00C72369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CONTACTO </w:t>
      </w:r>
      <w:r>
        <w:tab/>
      </w:r>
      <w:r>
        <w:tab/>
      </w:r>
      <w:r>
        <w:tab/>
      </w:r>
      <w:r>
        <w:tab/>
      </w:r>
    </w:p>
    <w:p w14:paraId="2D4DCC2F" w14:textId="77777777" w:rsidR="00C72369" w:rsidRPr="00727B58" w:rsidRDefault="00C72369" w:rsidP="00C72369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Cristelle Lacourt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Charlie Ebers </w:t>
      </w:r>
    </w:p>
    <w:p w14:paraId="1C9EFDB2" w14:textId="77777777" w:rsidR="00C72369" w:rsidRPr="00727B58" w:rsidRDefault="00C72369" w:rsidP="00C72369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1A77483E" w14:textId="77777777" w:rsidR="00C72369" w:rsidRPr="00727B58" w:rsidRDefault="00C72369" w:rsidP="00C72369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 +33 472 182 018</w:t>
      </w:r>
      <w:r>
        <w:tab/>
      </w:r>
      <w:r>
        <w:rPr>
          <w:rFonts w:ascii="Georgia" w:hAnsi="Georgia"/>
          <w:color w:val="41525C"/>
          <w:sz w:val="19"/>
        </w:rPr>
        <w:t>Tel +44 207 923 5864</w:t>
      </w:r>
    </w:p>
    <w:p w14:paraId="6D1B3D4D" w14:textId="77777777" w:rsidR="00C72369" w:rsidRPr="00727B58" w:rsidRDefault="00C72369" w:rsidP="00C72369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1">
        <w:r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490B9774" w14:textId="77777777" w:rsidR="00C72369" w:rsidRPr="00727B58" w:rsidRDefault="00C72369" w:rsidP="00C72369">
      <w:pPr>
        <w:rPr>
          <w:rFonts w:ascii="Georgia" w:hAnsi="Georgia" w:cs="Georgia"/>
          <w:sz w:val="19"/>
          <w:szCs w:val="19"/>
        </w:rPr>
      </w:pPr>
    </w:p>
    <w:p w14:paraId="5CBE06F2" w14:textId="77777777" w:rsidR="00C72369" w:rsidRPr="00A16219" w:rsidRDefault="00C72369" w:rsidP="00C72369">
      <w:pPr>
        <w:rPr>
          <w:rFonts w:ascii="Georgia" w:hAnsi="Georgia" w:cs="Arial"/>
          <w:sz w:val="19"/>
          <w:szCs w:val="19"/>
        </w:rPr>
      </w:pPr>
    </w:p>
    <w:p w14:paraId="011D4889" w14:textId="77777777" w:rsidR="00C72369" w:rsidRPr="008E70D4" w:rsidRDefault="00C72369" w:rsidP="00C72369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ACERCA DE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Fundada en 1902, The Manitowoc Company, Inc. es un fabricante global líder de grúas y soluciones de elevación con más de 49 instalaciones de fabricación, distribución y servicio en 20 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</w:t>
      </w:r>
      <w:proofErr w:type="gramStart"/>
      <w:r>
        <w:rPr>
          <w:rFonts w:ascii="Georgia" w:hAnsi="Georgia"/>
          <w:color w:val="41525C"/>
          <w:sz w:val="19"/>
        </w:rPr>
        <w:t>el 2015, los ingresos de Manitowoc alcanzaron los US$1900 millones, con</w:t>
      </w:r>
      <w:proofErr w:type="gramEnd"/>
      <w:r>
        <w:rPr>
          <w:rFonts w:ascii="Georgia" w:hAnsi="Georgia"/>
          <w:color w:val="41525C"/>
          <w:sz w:val="19"/>
        </w:rPr>
        <w:t xml:space="preserve"> más de la mitad de ese monto generado afuera de los Estados Unidos.</w:t>
      </w:r>
    </w:p>
    <w:p w14:paraId="5B746258" w14:textId="77777777" w:rsidR="00C72369" w:rsidRPr="009222C2" w:rsidRDefault="00C72369" w:rsidP="00C72369">
      <w:pPr>
        <w:rPr>
          <w:rFonts w:ascii="Georgia" w:hAnsi="Georgia"/>
          <w:color w:val="41525C"/>
          <w:sz w:val="19"/>
          <w:szCs w:val="19"/>
        </w:rPr>
      </w:pPr>
    </w:p>
    <w:p w14:paraId="1AEDBB1D" w14:textId="77777777" w:rsidR="00C72369" w:rsidRPr="009222C2" w:rsidRDefault="00C72369" w:rsidP="00C7236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lastRenderedPageBreak/>
        <w:t>MANITOWOC CRANES</w:t>
      </w:r>
    </w:p>
    <w:p w14:paraId="2D30111E" w14:textId="77777777" w:rsidR="00C72369" w:rsidRPr="009222C2" w:rsidRDefault="00C72369" w:rsidP="00C7236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- PO Box 70</w:t>
      </w:r>
      <w:r>
        <w:rPr>
          <w:rFonts w:ascii="Georgia" w:hAnsi="Georgia"/>
          <w:sz w:val="19"/>
        </w:rPr>
        <w:t xml:space="preserve"> - </w:t>
      </w:r>
      <w:r>
        <w:rPr>
          <w:rFonts w:ascii="Georgia" w:hAnsi="Georgia"/>
          <w:color w:val="41525C"/>
          <w:sz w:val="19"/>
        </w:rPr>
        <w:t>Manitowoc, WI 54221-0070 EE.UU.</w:t>
      </w:r>
    </w:p>
    <w:p w14:paraId="280D6D9D" w14:textId="77777777" w:rsidR="00C72369" w:rsidRPr="009222C2" w:rsidRDefault="00C72369" w:rsidP="00C7236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 +1 920 684 6621</w:t>
      </w:r>
    </w:p>
    <w:p w14:paraId="2632DEFA" w14:textId="77777777" w:rsidR="00C72369" w:rsidRDefault="00C72369" w:rsidP="00C72369">
      <w:pPr>
        <w:rPr>
          <w:sz w:val="18"/>
          <w:szCs w:val="18"/>
        </w:rPr>
      </w:pPr>
      <w:hyperlink r:id="rId12">
        <w:r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>
        <w:softHyphen/>
      </w: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C8D35" w14:textId="77777777" w:rsidR="007D7467" w:rsidRDefault="007D7467">
      <w:r>
        <w:separator/>
      </w:r>
    </w:p>
  </w:endnote>
  <w:endnote w:type="continuationSeparator" w:id="0">
    <w:p w14:paraId="1D3D25E5" w14:textId="77777777" w:rsidR="007D7467" w:rsidRDefault="007D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16B85" w14:textId="77777777" w:rsidR="007D7467" w:rsidRDefault="007D7467">
      <w:r>
        <w:separator/>
      </w:r>
    </w:p>
  </w:footnote>
  <w:footnote w:type="continuationSeparator" w:id="0">
    <w:p w14:paraId="2C511DFA" w14:textId="77777777" w:rsidR="007D7467" w:rsidRDefault="007D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A016" w14:textId="77777777" w:rsidR="002A4C26" w:rsidRPr="00164A29" w:rsidRDefault="002A4C26" w:rsidP="002A4C2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54AFB933" w14:textId="77777777" w:rsidR="00794C2F" w:rsidRPr="00164A29" w:rsidRDefault="00794C2F" w:rsidP="00794C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Grúas Potain en bauma 2016</w:t>
    </w:r>
  </w:p>
  <w:p w14:paraId="6E59B4CA" w14:textId="77777777" w:rsidR="00071137" w:rsidRPr="00164A29" w:rsidRDefault="00071137" w:rsidP="00071137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11 de abril de 2016</w:t>
    </w: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37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66B99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4C26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07950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4C2F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D7467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369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D6429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0A65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 w:bidi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369"/>
    <w:rPr>
      <w:rFonts w:ascii="Courier New" w:hAnsi="Courier New" w:cs="Courier New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 w:bidi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369"/>
    <w:rPr>
      <w:rFonts w:ascii="Courier New" w:hAnsi="Courier New" w:cs="Courier Ne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C83C84-503A-4CCF-940C-EA2764E1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5640</Characters>
  <Application>Microsoft Office Word</Application>
  <DocSecurity>0</DocSecurity>
  <Lines>165</Lines>
  <Paragraphs>43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2016-03-31T09:45:00Z</cp:lastPrinted>
  <dcterms:created xsi:type="dcterms:W3CDTF">2016-04-08T14:15:00Z</dcterms:created>
  <dcterms:modified xsi:type="dcterms:W3CDTF">2016-04-08T14:15:00Z</dcterms:modified>
</cp:coreProperties>
</file>