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5AEFB" w14:textId="77777777" w:rsidR="00DC2D5D" w:rsidRPr="003F44FD" w:rsidRDefault="00F52037" w:rsidP="00DC2D5D">
      <w:pPr>
        <w:tabs>
          <w:tab w:val="left" w:pos="6096"/>
        </w:tabs>
        <w:spacing w:line="276" w:lineRule="auto"/>
        <w:jc w:val="right"/>
        <w:outlineLvl w:val="0"/>
        <w:rPr>
          <w:rFonts w:ascii="Verdana" w:hAnsi="Verdana"/>
          <w:color w:val="ED1C2A"/>
          <w:sz w:val="30"/>
          <w:szCs w:val="30"/>
        </w:rPr>
      </w:pPr>
      <w:r>
        <w:rPr>
          <w:rFonts w:ascii="Georgia" w:hAnsi="Georgia"/>
          <w:noProof/>
          <w:sz w:val="21"/>
          <w:szCs w:val="21"/>
          <w:lang w:val="en-US"/>
        </w:rPr>
        <w:drawing>
          <wp:anchor distT="0" distB="0" distL="114300" distR="114300" simplePos="0" relativeHeight="251659264" behindDoc="0" locked="0" layoutInCell="1" allowOverlap="1" wp14:anchorId="4DB671AE" wp14:editId="6B33FF5E">
            <wp:simplePos x="0" y="0"/>
            <wp:positionH relativeFrom="column">
              <wp:posOffset>-43180</wp:posOffset>
            </wp:positionH>
            <wp:positionV relativeFrom="paragraph">
              <wp:posOffset>-39046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ED1C2A"/>
          <w:sz w:val="30"/>
          <w:szCs w:val="30"/>
        </w:rPr>
        <w:t>COMMUNIQUÉ DE PRESSE</w:t>
      </w:r>
    </w:p>
    <w:p w14:paraId="1D96AFCC" w14:textId="0B907E59" w:rsidR="00DC2D5D" w:rsidRPr="003F44FD" w:rsidRDefault="001055B2" w:rsidP="00DC2D5D">
      <w:pPr>
        <w:spacing w:line="276" w:lineRule="auto"/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 xml:space="preserve">Le </w:t>
      </w:r>
      <w:r w:rsidR="007B0B2D">
        <w:rPr>
          <w:rFonts w:ascii="Verdana" w:hAnsi="Verdana"/>
          <w:color w:val="41525C"/>
          <w:sz w:val="18"/>
          <w:szCs w:val="18"/>
        </w:rPr>
        <w:t>25</w:t>
      </w:r>
      <w:r>
        <w:rPr>
          <w:rFonts w:ascii="Verdana" w:hAnsi="Verdana"/>
          <w:color w:val="41525C"/>
          <w:sz w:val="18"/>
          <w:szCs w:val="18"/>
        </w:rPr>
        <w:t> avril 2019</w:t>
      </w:r>
    </w:p>
    <w:p w14:paraId="38E2EC11" w14:textId="77777777" w:rsidR="00DC2D5D" w:rsidRPr="003F44FD" w:rsidRDefault="00DC2D5D" w:rsidP="00DC2D5D">
      <w:pPr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74872289" w14:textId="77777777" w:rsidR="00DC2D5D" w:rsidRPr="003F44FD" w:rsidRDefault="00DC2D5D" w:rsidP="00DC2D5D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0A87F126" w14:textId="0CD05D55" w:rsidR="00DC2D5D" w:rsidRDefault="007B0B2D" w:rsidP="00DC2D5D">
      <w:pPr>
        <w:rPr>
          <w:rFonts w:ascii="Georgia" w:hAnsi="Georgia"/>
          <w:b/>
          <w:bCs/>
          <w:sz w:val="28"/>
          <w:szCs w:val="28"/>
        </w:rPr>
      </w:pPr>
      <w:r w:rsidRPr="007B0B2D">
        <w:rPr>
          <w:rFonts w:ascii="Georgia" w:hAnsi="Georgia"/>
          <w:b/>
          <w:bCs/>
          <w:sz w:val="28"/>
          <w:szCs w:val="28"/>
        </w:rPr>
        <w:t>Manitowoc s’engage à soutenir la reconstruction de la cathédrale de Notre-Dame</w:t>
      </w:r>
    </w:p>
    <w:p w14:paraId="30993B74" w14:textId="77777777" w:rsidR="007B0B2D" w:rsidRPr="003F44FD" w:rsidRDefault="007B0B2D" w:rsidP="00DC2D5D">
      <w:pPr>
        <w:rPr>
          <w:rFonts w:ascii="Georgia" w:hAnsi="Georgia" w:cs="Arial"/>
          <w:sz w:val="21"/>
          <w:szCs w:val="21"/>
        </w:rPr>
      </w:pPr>
    </w:p>
    <w:p w14:paraId="3F135943" w14:textId="77777777" w:rsidR="007B0B2D" w:rsidRDefault="007B0B2D" w:rsidP="00DC2D5D">
      <w:pPr>
        <w:rPr>
          <w:rFonts w:ascii="Georgia" w:hAnsi="Georgia"/>
          <w:sz w:val="21"/>
          <w:szCs w:val="21"/>
        </w:rPr>
      </w:pPr>
      <w:r w:rsidRPr="007B0B2D">
        <w:rPr>
          <w:rFonts w:ascii="Georgia" w:hAnsi="Georgia"/>
          <w:sz w:val="21"/>
          <w:szCs w:val="21"/>
        </w:rPr>
        <w:t xml:space="preserve">À la suite de l’incendie qui a causé des dégâts considérables à la cathédrale de Notre-Dame de Paris, Potain – le fabricant de grues à tour du groupe Manitowoc – s’est engagé à apporter sa contribution pour la reconstruction de la cathédrale. </w:t>
      </w:r>
    </w:p>
    <w:p w14:paraId="0DF758CA" w14:textId="77777777" w:rsidR="007B0B2D" w:rsidRDefault="007B0B2D" w:rsidP="00DC2D5D">
      <w:pPr>
        <w:rPr>
          <w:rFonts w:ascii="Georgia" w:hAnsi="Georgia"/>
          <w:sz w:val="21"/>
          <w:szCs w:val="21"/>
        </w:rPr>
      </w:pPr>
    </w:p>
    <w:p w14:paraId="1804DFBB" w14:textId="77777777" w:rsidR="007B0B2D" w:rsidRDefault="007B0B2D" w:rsidP="00DC2D5D">
      <w:pPr>
        <w:rPr>
          <w:rFonts w:ascii="Georgia" w:hAnsi="Georgia"/>
          <w:sz w:val="21"/>
          <w:szCs w:val="21"/>
        </w:rPr>
      </w:pPr>
      <w:r w:rsidRPr="007B0B2D">
        <w:rPr>
          <w:rFonts w:ascii="Georgia" w:hAnsi="Georgia"/>
          <w:sz w:val="21"/>
          <w:szCs w:val="21"/>
        </w:rPr>
        <w:t xml:space="preserve">Manitowoc fournira gratuitement des grues à tour et les services associés pour assurer le chantier à venir. Les termes de cette offre ont été officiellement présentés aux autorités françaises. </w:t>
      </w:r>
    </w:p>
    <w:p w14:paraId="5CB97873" w14:textId="77777777" w:rsidR="007B0B2D" w:rsidRDefault="007B0B2D" w:rsidP="00DC2D5D">
      <w:pPr>
        <w:rPr>
          <w:rFonts w:ascii="Georgia" w:hAnsi="Georgia"/>
          <w:sz w:val="21"/>
          <w:szCs w:val="21"/>
        </w:rPr>
      </w:pPr>
    </w:p>
    <w:p w14:paraId="1C3B034B" w14:textId="524EB81B" w:rsidR="00022018" w:rsidRDefault="007B0B2D" w:rsidP="00DC2D5D">
      <w:pPr>
        <w:rPr>
          <w:rFonts w:ascii="Georgia" w:hAnsi="Georgia"/>
          <w:sz w:val="21"/>
          <w:szCs w:val="21"/>
        </w:rPr>
      </w:pPr>
      <w:r w:rsidRPr="007B0B2D">
        <w:rPr>
          <w:rFonts w:ascii="Georgia" w:hAnsi="Georgia"/>
          <w:sz w:val="21"/>
          <w:szCs w:val="21"/>
        </w:rPr>
        <w:t xml:space="preserve">« Il nous a semblé naturel que Potain, notre marque de grues à tour, impliquée depuis plus de 90 ans dans la construction des œuvres les plus emblématiques de l'architecture et du patrimoine français, soutienne les efforts de reconstruction de la cathédrale Notre-Dame de Paris. Nos grues et notre expertise technique seront mises à disposition pour relever le défi d’une reconstruction rapide de la cathédrale », a déclaré Barry </w:t>
      </w:r>
      <w:proofErr w:type="spellStart"/>
      <w:r w:rsidRPr="007B0B2D">
        <w:rPr>
          <w:rFonts w:ascii="Georgia" w:hAnsi="Georgia"/>
          <w:sz w:val="21"/>
          <w:szCs w:val="21"/>
        </w:rPr>
        <w:t>Pennypacker</w:t>
      </w:r>
      <w:proofErr w:type="spellEnd"/>
      <w:r w:rsidRPr="007B0B2D">
        <w:rPr>
          <w:rFonts w:ascii="Georgia" w:hAnsi="Georgia"/>
          <w:sz w:val="21"/>
          <w:szCs w:val="21"/>
        </w:rPr>
        <w:t xml:space="preserve">, </w:t>
      </w:r>
      <w:proofErr w:type="spellStart"/>
      <w:r w:rsidRPr="007B0B2D">
        <w:rPr>
          <w:rFonts w:ascii="Georgia" w:hAnsi="Georgia"/>
          <w:sz w:val="21"/>
          <w:szCs w:val="21"/>
        </w:rPr>
        <w:t>President</w:t>
      </w:r>
      <w:proofErr w:type="spellEnd"/>
      <w:r w:rsidRPr="007B0B2D">
        <w:rPr>
          <w:rFonts w:ascii="Georgia" w:hAnsi="Georgia"/>
          <w:sz w:val="21"/>
          <w:szCs w:val="21"/>
        </w:rPr>
        <w:t xml:space="preserve"> and Chief </w:t>
      </w:r>
      <w:proofErr w:type="spellStart"/>
      <w:r w:rsidRPr="007B0B2D">
        <w:rPr>
          <w:rFonts w:ascii="Georgia" w:hAnsi="Georgia"/>
          <w:sz w:val="21"/>
          <w:szCs w:val="21"/>
        </w:rPr>
        <w:t>Executive</w:t>
      </w:r>
      <w:proofErr w:type="spellEnd"/>
      <w:r w:rsidRPr="007B0B2D">
        <w:rPr>
          <w:rFonts w:ascii="Georgia" w:hAnsi="Georgia"/>
          <w:sz w:val="21"/>
          <w:szCs w:val="21"/>
        </w:rPr>
        <w:t xml:space="preserve"> </w:t>
      </w:r>
      <w:proofErr w:type="spellStart"/>
      <w:r w:rsidRPr="007B0B2D">
        <w:rPr>
          <w:rFonts w:ascii="Georgia" w:hAnsi="Georgia"/>
          <w:sz w:val="21"/>
          <w:szCs w:val="21"/>
        </w:rPr>
        <w:t>Officer</w:t>
      </w:r>
      <w:proofErr w:type="spellEnd"/>
      <w:r w:rsidRPr="007B0B2D">
        <w:rPr>
          <w:rFonts w:ascii="Georgia" w:hAnsi="Georgia"/>
          <w:sz w:val="21"/>
          <w:szCs w:val="21"/>
        </w:rPr>
        <w:t xml:space="preserve"> de The Manitowoc </w:t>
      </w:r>
      <w:proofErr w:type="spellStart"/>
      <w:r w:rsidRPr="007B0B2D">
        <w:rPr>
          <w:rFonts w:ascii="Georgia" w:hAnsi="Georgia"/>
          <w:sz w:val="21"/>
          <w:szCs w:val="21"/>
        </w:rPr>
        <w:t>Company</w:t>
      </w:r>
      <w:proofErr w:type="spellEnd"/>
      <w:r w:rsidRPr="007B0B2D">
        <w:rPr>
          <w:rFonts w:ascii="Georgia" w:hAnsi="Georgia"/>
          <w:sz w:val="21"/>
          <w:szCs w:val="21"/>
        </w:rPr>
        <w:t>, Inc.</w:t>
      </w:r>
    </w:p>
    <w:p w14:paraId="5C0AAD39" w14:textId="77777777" w:rsidR="00DC2D5D" w:rsidRPr="003F44FD" w:rsidRDefault="00DC2D5D" w:rsidP="00DC2D5D">
      <w:pPr>
        <w:spacing w:line="276" w:lineRule="auto"/>
        <w:rPr>
          <w:rFonts w:ascii="Georgia" w:hAnsi="Georgia" w:cs="Georgia"/>
          <w:sz w:val="21"/>
          <w:szCs w:val="21"/>
        </w:rPr>
      </w:pPr>
    </w:p>
    <w:p w14:paraId="20A453CD" w14:textId="77777777" w:rsidR="00DC2D5D" w:rsidRPr="003F44FD" w:rsidRDefault="00F52037" w:rsidP="00DC2D5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-FIN-</w:t>
      </w:r>
    </w:p>
    <w:p w14:paraId="4F5E1552" w14:textId="77777777" w:rsidR="000D44FC" w:rsidRPr="003F44FD" w:rsidRDefault="000D44FC" w:rsidP="007B0B2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Georgia"/>
          <w:sz w:val="21"/>
          <w:szCs w:val="21"/>
        </w:rPr>
      </w:pPr>
    </w:p>
    <w:p w14:paraId="1D847D2D" w14:textId="77777777" w:rsidR="007B0B2D" w:rsidRPr="00FD2615" w:rsidRDefault="007B0B2D" w:rsidP="007B0B2D">
      <w:pPr>
        <w:spacing w:line="276" w:lineRule="auto"/>
        <w:outlineLvl w:val="0"/>
        <w:rPr>
          <w:rFonts w:ascii="Verdana" w:hAnsi="Verdana"/>
          <w:b/>
          <w:color w:val="41525C"/>
          <w:sz w:val="18"/>
          <w:szCs w:val="18"/>
        </w:rPr>
      </w:pPr>
      <w:r w:rsidRPr="00FD2615">
        <w:rPr>
          <w:rFonts w:ascii="Verdana" w:hAnsi="Verdana"/>
          <w:color w:val="ED1C2A"/>
          <w:sz w:val="18"/>
          <w:szCs w:val="18"/>
        </w:rPr>
        <w:t>CONTACT</w:t>
      </w:r>
    </w:p>
    <w:p w14:paraId="7EC2F365" w14:textId="77777777" w:rsidR="007B0B2D" w:rsidRPr="00294749" w:rsidRDefault="007B0B2D" w:rsidP="007B0B2D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294749">
        <w:rPr>
          <w:rFonts w:ascii="Verdana" w:hAnsi="Verdana"/>
          <w:b/>
          <w:color w:val="41525C"/>
          <w:sz w:val="18"/>
          <w:szCs w:val="18"/>
        </w:rPr>
        <w:t xml:space="preserve">Cristelle </w:t>
      </w:r>
      <w:proofErr w:type="spellStart"/>
      <w:r w:rsidRPr="00294749">
        <w:rPr>
          <w:rFonts w:ascii="Verdana" w:hAnsi="Verdana"/>
          <w:b/>
          <w:color w:val="41525C"/>
          <w:sz w:val="18"/>
          <w:szCs w:val="18"/>
        </w:rPr>
        <w:t>Lacourt</w:t>
      </w:r>
      <w:proofErr w:type="spellEnd"/>
    </w:p>
    <w:p w14:paraId="180077E8" w14:textId="77777777" w:rsidR="007B0B2D" w:rsidRPr="00294749" w:rsidRDefault="007B0B2D" w:rsidP="007B0B2D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294749">
        <w:rPr>
          <w:rFonts w:ascii="Verdana" w:hAnsi="Verdana"/>
          <w:color w:val="41525C"/>
          <w:sz w:val="18"/>
          <w:szCs w:val="18"/>
        </w:rPr>
        <w:t>Manitowoc</w:t>
      </w:r>
    </w:p>
    <w:p w14:paraId="6504CFD4" w14:textId="77777777" w:rsidR="007B0B2D" w:rsidRPr="00294749" w:rsidRDefault="007B0B2D" w:rsidP="007B0B2D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294749">
        <w:rPr>
          <w:rFonts w:ascii="Verdana" w:hAnsi="Verdana"/>
          <w:color w:val="41525C"/>
          <w:sz w:val="18"/>
          <w:szCs w:val="18"/>
        </w:rPr>
        <w:t>T +33 472 182 018</w:t>
      </w:r>
    </w:p>
    <w:p w14:paraId="04A5DBF9" w14:textId="77777777" w:rsidR="007B0B2D" w:rsidRPr="00294749" w:rsidRDefault="007B0B2D" w:rsidP="007B0B2D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hyperlink r:id="rId8" w:history="1">
        <w:r w:rsidRPr="00294749">
          <w:rPr>
            <w:rStyle w:val="Hyperlink"/>
            <w:rFonts w:ascii="Verdana" w:hAnsi="Verdana"/>
            <w:color w:val="41525C"/>
            <w:sz w:val="18"/>
            <w:szCs w:val="18"/>
          </w:rPr>
          <w:t>cristelle.lacourt@manitowoc.com</w:t>
        </w:r>
      </w:hyperlink>
      <w:r w:rsidRPr="00294749">
        <w:rPr>
          <w:rFonts w:ascii="Verdana" w:hAnsi="Verdana"/>
          <w:color w:val="41525C"/>
          <w:sz w:val="18"/>
          <w:szCs w:val="18"/>
        </w:rPr>
        <w:t xml:space="preserve"> </w:t>
      </w:r>
    </w:p>
    <w:p w14:paraId="26B6336E" w14:textId="77777777" w:rsidR="00DC2D5D" w:rsidRPr="003F44FD" w:rsidRDefault="00DC2D5D" w:rsidP="00DC2D5D">
      <w:pPr>
        <w:spacing w:line="276" w:lineRule="auto"/>
        <w:rPr>
          <w:rFonts w:ascii="Verdana" w:hAnsi="Verdana"/>
          <w:color w:val="ED1C2A"/>
          <w:sz w:val="18"/>
          <w:szCs w:val="18"/>
        </w:rPr>
      </w:pPr>
    </w:p>
    <w:p w14:paraId="36DFBB3C" w14:textId="77777777" w:rsidR="00DC2D5D" w:rsidRPr="003F44FD" w:rsidRDefault="00F52037" w:rsidP="00DC2D5D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  <w:color w:val="FF0000"/>
          <w:sz w:val="18"/>
          <w:szCs w:val="19"/>
        </w:rPr>
      </w:pPr>
      <w:r>
        <w:rPr>
          <w:rFonts w:ascii="Verdana" w:hAnsi="Verdana"/>
          <w:bCs/>
          <w:color w:val="FF0000"/>
          <w:sz w:val="18"/>
          <w:szCs w:val="19"/>
        </w:rPr>
        <w:t>À PROPOS DE THE MANITOWOC COMPANY, INC.</w:t>
      </w:r>
    </w:p>
    <w:p w14:paraId="7455F3D0" w14:textId="721CB840" w:rsidR="00DC2D5D" w:rsidRPr="003F44FD" w:rsidRDefault="00F52037" w:rsidP="00DC2D5D">
      <w:pPr>
        <w:spacing w:line="276" w:lineRule="auto"/>
        <w:rPr>
          <w:rFonts w:ascii="Georgia" w:hAnsi="Georgia"/>
          <w:color w:val="41525C"/>
          <w:sz w:val="19"/>
          <w:szCs w:val="19"/>
        </w:rPr>
      </w:pPr>
      <w:r>
        <w:rPr>
          <w:rFonts w:ascii="Verdana" w:hAnsi="Verdana"/>
          <w:color w:val="41525C"/>
          <w:sz w:val="18"/>
          <w:szCs w:val="18"/>
        </w:rPr>
        <w:t xml:space="preserve">Fondée en 1902, The Manitowoc </w:t>
      </w:r>
      <w:proofErr w:type="spellStart"/>
      <w:r>
        <w:rPr>
          <w:rFonts w:ascii="Verdana" w:hAnsi="Verdana"/>
          <w:color w:val="41525C"/>
          <w:sz w:val="18"/>
          <w:szCs w:val="18"/>
        </w:rPr>
        <w:t>Company</w:t>
      </w:r>
      <w:proofErr w:type="spellEnd"/>
      <w:r>
        <w:rPr>
          <w:rFonts w:ascii="Verdana" w:hAnsi="Verdana"/>
          <w:color w:val="41525C"/>
          <w:sz w:val="18"/>
          <w:szCs w:val="18"/>
        </w:rPr>
        <w:t xml:space="preserve">, Inc. est un leader mondial dans la fabrication de grues et de solutions de levage et compte des unités de production, de distribution et de service dans 20 pays. Aux États-Unis, les marques Grove, Manitowoc, National Crane, Potain et </w:t>
      </w:r>
      <w:proofErr w:type="spellStart"/>
      <w:r>
        <w:rPr>
          <w:rFonts w:ascii="Verdana" w:hAnsi="Verdana"/>
          <w:color w:val="41525C"/>
          <w:sz w:val="18"/>
          <w:szCs w:val="18"/>
        </w:rPr>
        <w:t>Shuttlelift</w:t>
      </w:r>
      <w:proofErr w:type="spellEnd"/>
      <w:r>
        <w:rPr>
          <w:rFonts w:ascii="Verdana" w:hAnsi="Verdana"/>
          <w:color w:val="41525C"/>
          <w:sz w:val="18"/>
          <w:szCs w:val="18"/>
        </w:rPr>
        <w:t xml:space="preserve"> sont vendues et entretenues par Grove US, LLC, une filiale en propriété exclusive de The Manitowoc </w:t>
      </w:r>
      <w:proofErr w:type="spellStart"/>
      <w:r>
        <w:rPr>
          <w:rFonts w:ascii="Verdana" w:hAnsi="Verdana"/>
          <w:color w:val="41525C"/>
          <w:sz w:val="18"/>
          <w:szCs w:val="18"/>
        </w:rPr>
        <w:t>Company</w:t>
      </w:r>
      <w:proofErr w:type="spellEnd"/>
      <w:r>
        <w:rPr>
          <w:rFonts w:ascii="Verdana" w:hAnsi="Verdana"/>
          <w:color w:val="41525C"/>
          <w:sz w:val="18"/>
          <w:szCs w:val="18"/>
        </w:rPr>
        <w:t xml:space="preserve">, Inc. En 2018, Manitowoc a réalisé un total de 1,8 milliard de dollars de chiffre </w:t>
      </w:r>
      <w:r w:rsidR="00544971">
        <w:rPr>
          <w:rFonts w:ascii="Verdana" w:hAnsi="Verdana"/>
          <w:color w:val="41525C"/>
          <w:sz w:val="18"/>
          <w:szCs w:val="18"/>
        </w:rPr>
        <w:t xml:space="preserve">d’affaires net, dont plus de la </w:t>
      </w:r>
      <w:r>
        <w:rPr>
          <w:rFonts w:ascii="Verdana" w:hAnsi="Verdana"/>
          <w:color w:val="41525C"/>
          <w:sz w:val="18"/>
          <w:szCs w:val="18"/>
        </w:rPr>
        <w:t>moitié généré en dehors des États-Unis.</w:t>
      </w:r>
      <w:bookmarkStart w:id="0" w:name="_GoBack"/>
      <w:bookmarkEnd w:id="0"/>
    </w:p>
    <w:p w14:paraId="207758C4" w14:textId="77777777" w:rsidR="00DC2D5D" w:rsidRPr="003F44FD" w:rsidRDefault="00DC2D5D" w:rsidP="00DC2D5D">
      <w:pPr>
        <w:spacing w:line="276" w:lineRule="auto"/>
        <w:rPr>
          <w:rFonts w:ascii="Georgia" w:hAnsi="Georgia"/>
          <w:color w:val="41525C"/>
          <w:sz w:val="19"/>
          <w:szCs w:val="19"/>
        </w:rPr>
      </w:pPr>
    </w:p>
    <w:p w14:paraId="1D9527C1" w14:textId="77777777" w:rsidR="00DC2D5D" w:rsidRPr="00CF7474" w:rsidRDefault="00F52037" w:rsidP="00DC2D5D">
      <w:p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CF7474">
        <w:rPr>
          <w:rFonts w:ascii="Verdana" w:hAnsi="Verdana"/>
          <w:color w:val="ED1C2A"/>
          <w:sz w:val="18"/>
          <w:szCs w:val="18"/>
          <w:lang w:val="en-US"/>
        </w:rPr>
        <w:t>THE MANITOWOC COMPANY, INC.</w:t>
      </w:r>
    </w:p>
    <w:p w14:paraId="7E22D4B3" w14:textId="77777777" w:rsidR="00DC2D5D" w:rsidRPr="00CF7474" w:rsidRDefault="00F52037" w:rsidP="00DC2D5D">
      <w:pPr>
        <w:spacing w:line="276" w:lineRule="auto"/>
        <w:rPr>
          <w:rFonts w:ascii="Verdana" w:hAnsi="Verdana"/>
          <w:color w:val="41525C"/>
          <w:sz w:val="18"/>
          <w:lang w:val="en-US"/>
        </w:rPr>
      </w:pPr>
      <w:r w:rsidRPr="00CF7474">
        <w:rPr>
          <w:rFonts w:ascii="Verdana" w:hAnsi="Verdana"/>
          <w:color w:val="41525C"/>
          <w:sz w:val="18"/>
          <w:lang w:val="en-US"/>
        </w:rPr>
        <w:t xml:space="preserve">One Park Plaza – 11270 West Park Place – Suite 1000 – Milwaukee, WI 53224, </w:t>
      </w:r>
      <w:proofErr w:type="spellStart"/>
      <w:r w:rsidRPr="00CF7474">
        <w:rPr>
          <w:rFonts w:ascii="Verdana" w:hAnsi="Verdana"/>
          <w:color w:val="41525C"/>
          <w:sz w:val="18"/>
          <w:lang w:val="en-US"/>
        </w:rPr>
        <w:t>États-Unis</w:t>
      </w:r>
      <w:proofErr w:type="spellEnd"/>
    </w:p>
    <w:p w14:paraId="1946E312" w14:textId="77777777" w:rsidR="00DC2D5D" w:rsidRPr="003F44FD" w:rsidRDefault="00F52037" w:rsidP="00DC2D5D">
      <w:pPr>
        <w:spacing w:line="276" w:lineRule="auto"/>
        <w:rPr>
          <w:rFonts w:ascii="Verdana" w:hAnsi="Verdana"/>
          <w:color w:val="41525C"/>
          <w:sz w:val="18"/>
        </w:rPr>
      </w:pPr>
      <w:r>
        <w:rPr>
          <w:rFonts w:ascii="Verdana" w:hAnsi="Verdana"/>
          <w:color w:val="41525C"/>
          <w:sz w:val="18"/>
        </w:rPr>
        <w:t>T +1 414 760 4600</w:t>
      </w:r>
    </w:p>
    <w:p w14:paraId="4F81EFBF" w14:textId="77777777" w:rsidR="00DC2D5D" w:rsidRPr="003F44FD" w:rsidRDefault="001D0983" w:rsidP="00DC2D5D">
      <w:pPr>
        <w:spacing w:line="276" w:lineRule="auto"/>
        <w:rPr>
          <w:rFonts w:ascii="Verdana" w:hAnsi="Verdana"/>
          <w:b/>
          <w:color w:val="41525C"/>
          <w:sz w:val="18"/>
          <w:szCs w:val="18"/>
          <w:u w:val="single"/>
        </w:rPr>
      </w:pPr>
      <w:hyperlink r:id="rId9" w:history="1">
        <w:r w:rsidR="004A1C93">
          <w:rPr>
            <w:rStyle w:val="Hyperlink"/>
            <w:rFonts w:ascii="Verdana" w:hAnsi="Verdana"/>
            <w:b/>
            <w:color w:val="41525C"/>
            <w:sz w:val="18"/>
            <w:szCs w:val="18"/>
          </w:rPr>
          <w:t>www.manitowoc.com</w:t>
        </w:r>
      </w:hyperlink>
    </w:p>
    <w:p w14:paraId="46D753CB" w14:textId="77777777" w:rsidR="00DC2D5D" w:rsidRPr="003F44FD" w:rsidRDefault="00DC2D5D" w:rsidP="00DC2D5D">
      <w:pPr>
        <w:spacing w:line="276" w:lineRule="auto"/>
        <w:rPr>
          <w:rFonts w:ascii="Verdana" w:hAnsi="Verdana"/>
          <w:b/>
          <w:color w:val="41525C"/>
          <w:sz w:val="18"/>
          <w:szCs w:val="18"/>
          <w:u w:val="single"/>
        </w:rPr>
      </w:pPr>
    </w:p>
    <w:sectPr w:rsidR="00DC2D5D" w:rsidRPr="003F44FD" w:rsidSect="00DC2D5D">
      <w:headerReference w:type="default" r:id="rId10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A770D" w14:textId="77777777" w:rsidR="001D0983" w:rsidRDefault="001D0983">
      <w:r>
        <w:separator/>
      </w:r>
    </w:p>
  </w:endnote>
  <w:endnote w:type="continuationSeparator" w:id="0">
    <w:p w14:paraId="401D8852" w14:textId="77777777" w:rsidR="001D0983" w:rsidRDefault="001D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1B44E" w14:textId="77777777" w:rsidR="001D0983" w:rsidRDefault="001D0983">
      <w:r>
        <w:separator/>
      </w:r>
    </w:p>
  </w:footnote>
  <w:footnote w:type="continuationSeparator" w:id="0">
    <w:p w14:paraId="7899E6DD" w14:textId="77777777" w:rsidR="001D0983" w:rsidRDefault="001D0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B87B3" w14:textId="77777777" w:rsidR="00E01A02" w:rsidRPr="00164A29" w:rsidRDefault="00E01A02" w:rsidP="00DC2D5D">
    <w:pPr>
      <w:tabs>
        <w:tab w:val="left" w:pos="1055"/>
        <w:tab w:val="left" w:pos="4111"/>
        <w:tab w:val="left" w:pos="7371"/>
      </w:tabs>
      <w:spacing w:line="276" w:lineRule="auto"/>
      <w:rPr>
        <w:rFonts w:ascii="Verdana" w:hAnsi="Verdana"/>
        <w:b/>
        <w:color w:val="41525C"/>
        <w:sz w:val="18"/>
        <w:szCs w:val="18"/>
      </w:rPr>
    </w:pPr>
    <w:r>
      <w:rPr>
        <w:rFonts w:ascii="Verdana" w:hAnsi="Verdana"/>
        <w:b/>
        <w:bCs/>
        <w:color w:val="41525C"/>
        <w:sz w:val="18"/>
        <w:szCs w:val="18"/>
      </w:rPr>
      <w:t xml:space="preserve">L’avenir du levage au salon </w:t>
    </w:r>
    <w:proofErr w:type="spellStart"/>
    <w:r>
      <w:rPr>
        <w:rFonts w:ascii="Verdana" w:hAnsi="Verdana"/>
        <w:b/>
        <w:bCs/>
        <w:color w:val="41525C"/>
        <w:sz w:val="18"/>
        <w:szCs w:val="18"/>
      </w:rPr>
      <w:t>Bauma</w:t>
    </w:r>
    <w:proofErr w:type="spellEnd"/>
    <w:r>
      <w:rPr>
        <w:rFonts w:ascii="Verdana" w:hAnsi="Verdana"/>
        <w:b/>
        <w:bCs/>
        <w:color w:val="41525C"/>
        <w:sz w:val="18"/>
        <w:szCs w:val="18"/>
      </w:rPr>
      <w:t xml:space="preserve"> 2019</w:t>
    </w:r>
  </w:p>
  <w:p w14:paraId="65A1C68D" w14:textId="77777777" w:rsidR="00E01A02" w:rsidRPr="00164A29" w:rsidRDefault="00E01A02" w:rsidP="00DC2D5D">
    <w:pPr>
      <w:spacing w:line="276" w:lineRule="auto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Le 8 avril 2019</w:t>
    </w:r>
  </w:p>
  <w:p w14:paraId="0A4AF7FA" w14:textId="77777777" w:rsidR="00E01A02" w:rsidRPr="003E31C0" w:rsidRDefault="00E01A02" w:rsidP="00DC2D5D">
    <w:pPr>
      <w:spacing w:line="276" w:lineRule="auto"/>
      <w:rPr>
        <w:rFonts w:ascii="Verdana" w:hAnsi="Verdana"/>
        <w:sz w:val="16"/>
        <w:szCs w:val="16"/>
      </w:rPr>
    </w:pPr>
  </w:p>
  <w:p w14:paraId="7917E2BF" w14:textId="77777777" w:rsidR="00E01A02" w:rsidRDefault="00E01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3E02"/>
    <w:multiLevelType w:val="hybridMultilevel"/>
    <w:tmpl w:val="3D12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804B60"/>
    <w:rsid w:val="00022018"/>
    <w:rsid w:val="000230D6"/>
    <w:rsid w:val="000309D3"/>
    <w:rsid w:val="00063B5C"/>
    <w:rsid w:val="000947BA"/>
    <w:rsid w:val="000D2592"/>
    <w:rsid w:val="000D44FC"/>
    <w:rsid w:val="001055B2"/>
    <w:rsid w:val="00151832"/>
    <w:rsid w:val="0015287E"/>
    <w:rsid w:val="0015554D"/>
    <w:rsid w:val="001803F2"/>
    <w:rsid w:val="001901A6"/>
    <w:rsid w:val="0019696D"/>
    <w:rsid w:val="001A2221"/>
    <w:rsid w:val="001A6D59"/>
    <w:rsid w:val="001B3AC2"/>
    <w:rsid w:val="001D0983"/>
    <w:rsid w:val="00206DE3"/>
    <w:rsid w:val="00236061"/>
    <w:rsid w:val="002609C9"/>
    <w:rsid w:val="00276C33"/>
    <w:rsid w:val="002A1EA6"/>
    <w:rsid w:val="002E7BEC"/>
    <w:rsid w:val="00364D23"/>
    <w:rsid w:val="0037221A"/>
    <w:rsid w:val="00396732"/>
    <w:rsid w:val="003A3220"/>
    <w:rsid w:val="003B6F6B"/>
    <w:rsid w:val="003D46E0"/>
    <w:rsid w:val="003D6B56"/>
    <w:rsid w:val="003D6E86"/>
    <w:rsid w:val="003E01F4"/>
    <w:rsid w:val="003F31F7"/>
    <w:rsid w:val="003F44FD"/>
    <w:rsid w:val="00414C94"/>
    <w:rsid w:val="0043122B"/>
    <w:rsid w:val="004613C6"/>
    <w:rsid w:val="004702C9"/>
    <w:rsid w:val="004A1C93"/>
    <w:rsid w:val="004A2A6D"/>
    <w:rsid w:val="004E7492"/>
    <w:rsid w:val="00501523"/>
    <w:rsid w:val="00510E2B"/>
    <w:rsid w:val="005204D1"/>
    <w:rsid w:val="00533D4B"/>
    <w:rsid w:val="00536636"/>
    <w:rsid w:val="00544971"/>
    <w:rsid w:val="00563AB4"/>
    <w:rsid w:val="005B4478"/>
    <w:rsid w:val="005C29AF"/>
    <w:rsid w:val="005E13BC"/>
    <w:rsid w:val="005F464D"/>
    <w:rsid w:val="00685E0D"/>
    <w:rsid w:val="006C3929"/>
    <w:rsid w:val="006E451C"/>
    <w:rsid w:val="00714DEE"/>
    <w:rsid w:val="0072201B"/>
    <w:rsid w:val="0074188C"/>
    <w:rsid w:val="00782170"/>
    <w:rsid w:val="00783CA8"/>
    <w:rsid w:val="00796ACE"/>
    <w:rsid w:val="0079777E"/>
    <w:rsid w:val="007A4382"/>
    <w:rsid w:val="007B0B2D"/>
    <w:rsid w:val="00804B60"/>
    <w:rsid w:val="00860876"/>
    <w:rsid w:val="00865327"/>
    <w:rsid w:val="00877399"/>
    <w:rsid w:val="00881CA8"/>
    <w:rsid w:val="008852FE"/>
    <w:rsid w:val="008B0460"/>
    <w:rsid w:val="008B2702"/>
    <w:rsid w:val="008F1ED4"/>
    <w:rsid w:val="009462A7"/>
    <w:rsid w:val="009837AA"/>
    <w:rsid w:val="00AA5A64"/>
    <w:rsid w:val="00AC56E9"/>
    <w:rsid w:val="00B034AB"/>
    <w:rsid w:val="00B45CD4"/>
    <w:rsid w:val="00B5689A"/>
    <w:rsid w:val="00B82842"/>
    <w:rsid w:val="00BC6A25"/>
    <w:rsid w:val="00BD4E57"/>
    <w:rsid w:val="00C1442D"/>
    <w:rsid w:val="00C56BB7"/>
    <w:rsid w:val="00C73B0A"/>
    <w:rsid w:val="00C949EC"/>
    <w:rsid w:val="00CB29E4"/>
    <w:rsid w:val="00CE4DC6"/>
    <w:rsid w:val="00CE5CBA"/>
    <w:rsid w:val="00CF6136"/>
    <w:rsid w:val="00CF7474"/>
    <w:rsid w:val="00D130CE"/>
    <w:rsid w:val="00D156A7"/>
    <w:rsid w:val="00D5300B"/>
    <w:rsid w:val="00D5768D"/>
    <w:rsid w:val="00D745B0"/>
    <w:rsid w:val="00D80C57"/>
    <w:rsid w:val="00DA7B88"/>
    <w:rsid w:val="00DC2D5D"/>
    <w:rsid w:val="00DC3FDD"/>
    <w:rsid w:val="00E01A02"/>
    <w:rsid w:val="00E67B76"/>
    <w:rsid w:val="00E90562"/>
    <w:rsid w:val="00E91AD0"/>
    <w:rsid w:val="00EA0B14"/>
    <w:rsid w:val="00EA64DF"/>
    <w:rsid w:val="00EE7003"/>
    <w:rsid w:val="00EF2877"/>
    <w:rsid w:val="00EF369C"/>
    <w:rsid w:val="00EF723E"/>
    <w:rsid w:val="00F50D1D"/>
    <w:rsid w:val="00F52037"/>
    <w:rsid w:val="00F60752"/>
    <w:rsid w:val="00F62B08"/>
    <w:rsid w:val="00FC0DA4"/>
    <w:rsid w:val="00FC6399"/>
    <w:rsid w:val="00FD4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3B7B5A"/>
  <w15:docId w15:val="{78BF77DA-BFF7-4075-A253-09F1FA4D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fr-FR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eastAsia="en-GB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elle.lacourt@manitowo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anitowoccran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Lippincott Mercer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Oliver Halls</cp:lastModifiedBy>
  <cp:revision>3</cp:revision>
  <cp:lastPrinted>2014-03-31T14:21:00Z</cp:lastPrinted>
  <dcterms:created xsi:type="dcterms:W3CDTF">2019-04-25T14:43:00Z</dcterms:created>
  <dcterms:modified xsi:type="dcterms:W3CDTF">2019-04-25T14:46:00Z</dcterms:modified>
</cp:coreProperties>
</file>